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sz w:val="44"/>
          <w:szCs w:val="44"/>
        </w:rPr>
      </w:pPr>
      <w:r>
        <w:rPr>
          <w:rFonts w:hint="eastAsia" w:ascii="宋体" w:hAnsi="宋体"/>
          <w:b/>
          <w:sz w:val="44"/>
          <w:szCs w:val="44"/>
        </w:rPr>
        <w:t>香河广播电视台</w:t>
      </w:r>
      <w:r>
        <w:rPr>
          <w:rFonts w:hint="eastAsia" w:ascii="宋体" w:hAnsi="宋体"/>
          <w:b/>
          <w:sz w:val="44"/>
          <w:szCs w:val="44"/>
          <w:lang w:eastAsia="zh-CN"/>
        </w:rPr>
        <w:t>2019年</w:t>
      </w:r>
      <w:r>
        <w:rPr>
          <w:rFonts w:hint="eastAsia" w:ascii="宋体" w:hAnsi="宋体"/>
          <w:b/>
          <w:sz w:val="44"/>
          <w:szCs w:val="44"/>
        </w:rPr>
        <w:t>部门预算信息公开</w:t>
      </w:r>
    </w:p>
    <w:p>
      <w:pPr>
        <w:ind w:firstLine="883" w:firstLineChars="200"/>
        <w:jc w:val="center"/>
        <w:rPr>
          <w:rFonts w:ascii="宋体"/>
          <w:b/>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按照《预算法》、《地方预决算公开操作规程》和《河北省省级预算公开办法》规定，现将香河广播电视台</w:t>
      </w:r>
      <w:r>
        <w:rPr>
          <w:rFonts w:hint="eastAsia" w:ascii="仿宋" w:hAnsi="仿宋" w:eastAsia="仿宋" w:cs="仿宋"/>
          <w:sz w:val="32"/>
          <w:szCs w:val="32"/>
          <w:lang w:eastAsia="zh-CN"/>
        </w:rPr>
        <w:t>2019年</w:t>
      </w:r>
      <w:r>
        <w:rPr>
          <w:rFonts w:hint="eastAsia" w:ascii="仿宋" w:hAnsi="仿宋" w:eastAsia="仿宋" w:cs="仿宋"/>
          <w:sz w:val="32"/>
          <w:szCs w:val="32"/>
        </w:rPr>
        <w:t>部门预算公开如下：</w:t>
      </w:r>
    </w:p>
    <w:p>
      <w:pPr>
        <w:ind w:firstLine="640"/>
        <w:rPr>
          <w:rFonts w:hint="eastAsia" w:ascii="仿宋" w:hAnsi="仿宋" w:eastAsia="仿宋" w:cs="仿宋"/>
          <w:sz w:val="32"/>
          <w:szCs w:val="32"/>
        </w:rPr>
      </w:pPr>
      <w:r>
        <w:rPr>
          <w:rFonts w:hint="eastAsia" w:ascii="仿宋" w:hAnsi="仿宋" w:eastAsia="仿宋" w:cs="仿宋"/>
          <w:sz w:val="32"/>
          <w:szCs w:val="32"/>
        </w:rPr>
        <w:t>一、部门职责及机构设置情况</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部门职责：</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一）贯彻执行有关广播、电视工作的路线、方针、政策；组织广播电视宣传和广播电视创作与生产；坚持正确的舆论导向，宣传县委、县政府的重大决策、中心工作及各行业的新成就；关注民情民生，加强舆论导向；加大对外宣传力度，提升香河县的影响力和美誉度。</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（二）贯彻执行国家广播电视事业的法律、法规和发展规划；拟定并组织实施县本级广播电视频率、频道发展规划和相应的管理办法，促进县级广播电视事业和产业持续健康发展。</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（三）贯彻执行国家广播电视技术政策和标准，统一管理摄录、制作、演播、播控、发射等重要技术装备；加强安全防范工作，确保广播电视安全播出。</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（四）管理和领导本台各频道、频率的工作；拟定县本级广电事业与产业发展规划并组织实施；负责广电媒体广告经营。</w:t>
      </w:r>
    </w:p>
    <w:p>
      <w:pPr>
        <w:widowControl/>
        <w:shd w:val="clear" w:color="auto" w:fill="FFFFFF"/>
        <w:spacing w:before="100" w:beforeAutospacing="1" w:after="100" w:afterAutospacing="1" w:line="229" w:lineRule="atLeast"/>
        <w:ind w:firstLine="640" w:firstLineChars="200"/>
        <w:rPr>
          <w:rFonts w:hint="eastAsia" w:ascii="仿宋" w:hAnsi="仿宋" w:eastAsia="仿宋" w:cs="仿宋"/>
          <w:color w:val="444444"/>
          <w:kern w:val="0"/>
          <w:sz w:val="32"/>
          <w:szCs w:val="32"/>
        </w:rPr>
      </w:pPr>
      <w:r>
        <w:rPr>
          <w:rFonts w:hint="eastAsia" w:ascii="仿宋" w:hAnsi="仿宋" w:eastAsia="仿宋" w:cs="仿宋"/>
          <w:color w:val="444444"/>
          <w:kern w:val="0"/>
          <w:sz w:val="32"/>
          <w:szCs w:val="32"/>
        </w:rPr>
        <w:t>（五）完成国家广播电影电视总局及河北省广播电影电视局及廊坊市文化广电新闻出版（版权）局交付的各项业务工作。</w:t>
      </w:r>
    </w:p>
    <w:p>
      <w:pPr>
        <w:ind w:firstLine="640" w:firstLineChars="200"/>
        <w:rPr>
          <w:rFonts w:hint="eastAsia" w:ascii="仿宋" w:hAnsi="仿宋" w:eastAsia="仿宋" w:cs="仿宋"/>
          <w:sz w:val="32"/>
          <w:szCs w:val="32"/>
        </w:rPr>
      </w:pPr>
      <w:r>
        <w:rPr>
          <w:rFonts w:hint="eastAsia" w:ascii="仿宋" w:hAnsi="仿宋" w:eastAsia="仿宋" w:cs="仿宋"/>
          <w:color w:val="444444"/>
          <w:kern w:val="0"/>
          <w:sz w:val="32"/>
          <w:szCs w:val="32"/>
        </w:rPr>
        <w:t>（六）加强</w:t>
      </w:r>
      <w:r>
        <w:rPr>
          <w:rFonts w:hint="eastAsia" w:ascii="仿宋" w:hAnsi="仿宋" w:eastAsia="仿宋" w:cs="仿宋"/>
          <w:sz w:val="32"/>
          <w:szCs w:val="32"/>
        </w:rPr>
        <w:t>对广播电视运营的监督管理工作。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（七）完成策划情景剧、微电影等创作摄制工作。</w:t>
      </w:r>
    </w:p>
    <w:p>
      <w:pPr>
        <w:ind w:firstLine="640" w:firstLineChars="200"/>
        <w:rPr>
          <w:rFonts w:hint="eastAsia" w:ascii="仿宋" w:hAnsi="仿宋" w:eastAsia="仿宋" w:cs="仿宋"/>
          <w:color w:val="444444"/>
          <w:kern w:val="0"/>
          <w:sz w:val="32"/>
          <w:szCs w:val="32"/>
        </w:rPr>
      </w:pPr>
      <w:r>
        <w:rPr>
          <w:rFonts w:hint="eastAsia" w:ascii="仿宋" w:hAnsi="仿宋" w:eastAsia="仿宋" w:cs="仿宋"/>
          <w:sz w:val="32"/>
          <w:szCs w:val="32"/>
        </w:rPr>
        <w:t>（八）组织重大新闻课题研究，探索广播电视节目的创新和发展，开展常态节目的收听收看评议；监看和审查不良广播电视节目内容。</w:t>
      </w:r>
    </w:p>
    <w:p>
      <w:pPr>
        <w:ind w:firstLine="640" w:firstLineChars="200"/>
        <w:rPr>
          <w:rFonts w:hint="eastAsia" w:ascii="仿宋" w:hAnsi="仿宋" w:eastAsia="仿宋" w:cs="仿宋"/>
          <w:sz w:val="32"/>
          <w:szCs w:val="32"/>
        </w:rPr>
      </w:pPr>
      <w:r>
        <w:rPr>
          <w:rFonts w:hint="eastAsia" w:ascii="仿宋" w:hAnsi="仿宋" w:eastAsia="仿宋" w:cs="仿宋"/>
          <w:color w:val="444444"/>
          <w:kern w:val="0"/>
          <w:sz w:val="32"/>
          <w:szCs w:val="32"/>
        </w:rPr>
        <w:t>（九）承办县委、县政府交办的其他事项。</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机构设置：</w:t>
      </w:r>
    </w:p>
    <w:p>
      <w:pPr>
        <w:jc w:val="left"/>
        <w:outlineLvl w:val="0"/>
        <w:rPr>
          <w:rFonts w:hint="eastAsia" w:ascii="仿宋" w:hAnsi="仿宋" w:eastAsia="仿宋" w:cs="仿宋"/>
          <w:sz w:val="32"/>
          <w:szCs w:val="32"/>
        </w:rPr>
      </w:pPr>
    </w:p>
    <w:p>
      <w:pPr>
        <w:jc w:val="center"/>
        <w:outlineLvl w:val="0"/>
        <w:rPr>
          <w:rFonts w:hint="eastAsia" w:ascii="仿宋" w:hAnsi="仿宋" w:eastAsia="仿宋" w:cs="仿宋"/>
          <w:sz w:val="32"/>
          <w:szCs w:val="32"/>
        </w:rPr>
      </w:pPr>
      <w:r>
        <w:rPr>
          <w:rFonts w:hint="eastAsia" w:ascii="仿宋" w:hAnsi="仿宋" w:eastAsia="仿宋" w:cs="仿宋"/>
          <w:sz w:val="32"/>
          <w:szCs w:val="32"/>
        </w:rPr>
        <w:t>部门机构设置情况</w:t>
      </w:r>
    </w:p>
    <w:tbl>
      <w:tblPr>
        <w:tblStyle w:val="6"/>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8"/>
        <w:gridCol w:w="1770"/>
        <w:gridCol w:w="1555"/>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528" w:type="dxa"/>
            <w:vMerge w:val="restart"/>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单位名称</w:t>
            </w:r>
          </w:p>
        </w:tc>
        <w:tc>
          <w:tcPr>
            <w:tcW w:w="1770" w:type="dxa"/>
            <w:vMerge w:val="restart"/>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单位性质</w:t>
            </w:r>
          </w:p>
        </w:tc>
        <w:tc>
          <w:tcPr>
            <w:tcW w:w="1555" w:type="dxa"/>
            <w:vMerge w:val="restart"/>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单位规格</w:t>
            </w:r>
          </w:p>
        </w:tc>
        <w:tc>
          <w:tcPr>
            <w:tcW w:w="2902" w:type="dxa"/>
            <w:vMerge w:val="restart"/>
            <w:vAlign w:val="center"/>
          </w:tcPr>
          <w:p>
            <w:pPr>
              <w:spacing w:line="300" w:lineRule="exact"/>
              <w:jc w:val="center"/>
              <w:rPr>
                <w:rFonts w:hint="eastAsia" w:ascii="仿宋" w:hAnsi="仿宋" w:eastAsia="仿宋" w:cs="仿宋"/>
                <w:b/>
                <w:sz w:val="32"/>
                <w:szCs w:val="32"/>
              </w:rPr>
            </w:pPr>
            <w:r>
              <w:rPr>
                <w:rFonts w:hint="eastAsia" w:ascii="仿宋" w:hAnsi="仿宋" w:eastAsia="仿宋" w:cs="仿宋"/>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528" w:type="dxa"/>
            <w:vMerge w:val="continue"/>
            <w:vAlign w:val="center"/>
          </w:tcPr>
          <w:p>
            <w:pPr>
              <w:spacing w:line="300" w:lineRule="exact"/>
              <w:jc w:val="left"/>
              <w:outlineLvl w:val="0"/>
              <w:rPr>
                <w:rFonts w:hint="eastAsia" w:ascii="仿宋" w:hAnsi="仿宋" w:eastAsia="仿宋" w:cs="仿宋"/>
                <w:sz w:val="32"/>
                <w:szCs w:val="32"/>
              </w:rPr>
            </w:pPr>
          </w:p>
        </w:tc>
        <w:tc>
          <w:tcPr>
            <w:tcW w:w="1770" w:type="dxa"/>
            <w:vMerge w:val="continue"/>
            <w:vAlign w:val="center"/>
          </w:tcPr>
          <w:p>
            <w:pPr>
              <w:spacing w:line="300" w:lineRule="exact"/>
              <w:jc w:val="left"/>
              <w:outlineLvl w:val="0"/>
              <w:rPr>
                <w:rFonts w:hint="eastAsia" w:ascii="仿宋" w:hAnsi="仿宋" w:eastAsia="仿宋" w:cs="仿宋"/>
                <w:sz w:val="32"/>
                <w:szCs w:val="32"/>
              </w:rPr>
            </w:pPr>
          </w:p>
        </w:tc>
        <w:tc>
          <w:tcPr>
            <w:tcW w:w="1555" w:type="dxa"/>
            <w:vMerge w:val="continue"/>
            <w:vAlign w:val="center"/>
          </w:tcPr>
          <w:p>
            <w:pPr>
              <w:spacing w:line="300" w:lineRule="exact"/>
              <w:jc w:val="left"/>
              <w:outlineLvl w:val="0"/>
              <w:rPr>
                <w:rFonts w:hint="eastAsia" w:ascii="仿宋" w:hAnsi="仿宋" w:eastAsia="仿宋" w:cs="仿宋"/>
                <w:sz w:val="32"/>
                <w:szCs w:val="32"/>
              </w:rPr>
            </w:pPr>
          </w:p>
        </w:tc>
        <w:tc>
          <w:tcPr>
            <w:tcW w:w="2902" w:type="dxa"/>
            <w:vMerge w:val="continue"/>
            <w:vAlign w:val="center"/>
          </w:tcPr>
          <w:p>
            <w:pPr>
              <w:spacing w:line="300" w:lineRule="exact"/>
              <w:jc w:val="left"/>
              <w:outlineLvl w:val="0"/>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hint="eastAsia" w:ascii="仿宋" w:hAnsi="仿宋" w:eastAsia="仿宋" w:cs="仿宋"/>
                <w:sz w:val="32"/>
                <w:szCs w:val="32"/>
              </w:rPr>
            </w:pPr>
            <w:r>
              <w:rPr>
                <w:rFonts w:hint="eastAsia" w:ascii="仿宋" w:hAnsi="仿宋" w:eastAsia="仿宋" w:cs="仿宋"/>
                <w:sz w:val="32"/>
                <w:szCs w:val="32"/>
              </w:rPr>
              <w:t>香河广播电视台</w:t>
            </w:r>
          </w:p>
        </w:tc>
        <w:tc>
          <w:tcPr>
            <w:tcW w:w="1770" w:type="dxa"/>
            <w:vAlign w:val="center"/>
          </w:tcPr>
          <w:p>
            <w:pPr>
              <w:spacing w:line="300" w:lineRule="exact"/>
              <w:jc w:val="left"/>
              <w:rPr>
                <w:rFonts w:hint="eastAsia" w:ascii="仿宋" w:hAnsi="仿宋" w:eastAsia="仿宋" w:cs="仿宋"/>
                <w:sz w:val="32"/>
                <w:szCs w:val="32"/>
              </w:rPr>
            </w:pPr>
            <w:r>
              <w:rPr>
                <w:rFonts w:hint="eastAsia" w:ascii="仿宋" w:hAnsi="仿宋" w:eastAsia="仿宋" w:cs="仿宋"/>
                <w:sz w:val="32"/>
                <w:szCs w:val="32"/>
                <w:lang w:eastAsia="zh-CN"/>
              </w:rPr>
              <w:t>差额</w:t>
            </w:r>
            <w:r>
              <w:rPr>
                <w:rFonts w:hint="eastAsia" w:ascii="仿宋" w:hAnsi="仿宋" w:eastAsia="仿宋" w:cs="仿宋"/>
                <w:sz w:val="32"/>
                <w:szCs w:val="32"/>
              </w:rPr>
              <w:t>事业</w:t>
            </w:r>
          </w:p>
        </w:tc>
        <w:tc>
          <w:tcPr>
            <w:tcW w:w="1555" w:type="dxa"/>
            <w:vAlign w:val="center"/>
          </w:tcPr>
          <w:p>
            <w:pPr>
              <w:spacing w:line="300" w:lineRule="exact"/>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正科级</w:t>
            </w:r>
          </w:p>
        </w:tc>
        <w:tc>
          <w:tcPr>
            <w:tcW w:w="2902" w:type="dxa"/>
            <w:vAlign w:val="center"/>
          </w:tcPr>
          <w:p>
            <w:pPr>
              <w:spacing w:line="300" w:lineRule="exact"/>
              <w:jc w:val="left"/>
              <w:rPr>
                <w:rFonts w:hint="eastAsia" w:ascii="仿宋" w:hAnsi="仿宋" w:eastAsia="仿宋" w:cs="仿宋"/>
                <w:sz w:val="32"/>
                <w:szCs w:val="32"/>
              </w:rPr>
            </w:pPr>
            <w:r>
              <w:rPr>
                <w:rFonts w:hint="eastAsia" w:ascii="仿宋" w:hAnsi="仿宋" w:eastAsia="仿宋" w:cs="仿宋"/>
                <w:sz w:val="32"/>
                <w:szCs w:val="32"/>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hint="eastAsia" w:ascii="仿宋" w:hAnsi="仿宋" w:eastAsia="仿宋" w:cs="仿宋"/>
                <w:sz w:val="32"/>
                <w:szCs w:val="32"/>
              </w:rPr>
            </w:pPr>
          </w:p>
        </w:tc>
        <w:tc>
          <w:tcPr>
            <w:tcW w:w="1770" w:type="dxa"/>
            <w:vAlign w:val="center"/>
          </w:tcPr>
          <w:p>
            <w:pPr>
              <w:spacing w:line="300" w:lineRule="exact"/>
              <w:jc w:val="left"/>
              <w:rPr>
                <w:rFonts w:hint="eastAsia" w:ascii="仿宋" w:hAnsi="仿宋" w:eastAsia="仿宋" w:cs="仿宋"/>
                <w:sz w:val="32"/>
                <w:szCs w:val="32"/>
              </w:rPr>
            </w:pPr>
          </w:p>
        </w:tc>
        <w:tc>
          <w:tcPr>
            <w:tcW w:w="1555" w:type="dxa"/>
            <w:vAlign w:val="center"/>
          </w:tcPr>
          <w:p>
            <w:pPr>
              <w:spacing w:line="300" w:lineRule="exact"/>
              <w:jc w:val="left"/>
              <w:rPr>
                <w:rFonts w:hint="eastAsia" w:ascii="仿宋" w:hAnsi="仿宋" w:eastAsia="仿宋" w:cs="仿宋"/>
                <w:sz w:val="32"/>
                <w:szCs w:val="32"/>
              </w:rPr>
            </w:pPr>
          </w:p>
        </w:tc>
        <w:tc>
          <w:tcPr>
            <w:tcW w:w="2902" w:type="dxa"/>
            <w:vAlign w:val="center"/>
          </w:tcPr>
          <w:p>
            <w:pPr>
              <w:spacing w:line="300" w:lineRule="exact"/>
              <w:jc w:val="left"/>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hint="eastAsia" w:ascii="仿宋" w:hAnsi="仿宋" w:eastAsia="仿宋" w:cs="仿宋"/>
                <w:sz w:val="32"/>
                <w:szCs w:val="32"/>
              </w:rPr>
            </w:pPr>
          </w:p>
        </w:tc>
        <w:tc>
          <w:tcPr>
            <w:tcW w:w="1770" w:type="dxa"/>
            <w:vAlign w:val="center"/>
          </w:tcPr>
          <w:p>
            <w:pPr>
              <w:spacing w:line="300" w:lineRule="exact"/>
              <w:jc w:val="left"/>
              <w:rPr>
                <w:rFonts w:hint="eastAsia" w:ascii="仿宋" w:hAnsi="仿宋" w:eastAsia="仿宋" w:cs="仿宋"/>
                <w:sz w:val="32"/>
                <w:szCs w:val="32"/>
              </w:rPr>
            </w:pPr>
          </w:p>
        </w:tc>
        <w:tc>
          <w:tcPr>
            <w:tcW w:w="1555" w:type="dxa"/>
            <w:vAlign w:val="center"/>
          </w:tcPr>
          <w:p>
            <w:pPr>
              <w:spacing w:line="300" w:lineRule="exact"/>
              <w:jc w:val="left"/>
              <w:rPr>
                <w:rFonts w:hint="eastAsia" w:ascii="仿宋" w:hAnsi="仿宋" w:eastAsia="仿宋" w:cs="仿宋"/>
                <w:sz w:val="32"/>
                <w:szCs w:val="32"/>
              </w:rPr>
            </w:pPr>
          </w:p>
        </w:tc>
        <w:tc>
          <w:tcPr>
            <w:tcW w:w="2902" w:type="dxa"/>
            <w:vAlign w:val="center"/>
          </w:tcPr>
          <w:p>
            <w:pPr>
              <w:spacing w:line="300" w:lineRule="exact"/>
              <w:jc w:val="left"/>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hint="eastAsia" w:ascii="仿宋" w:hAnsi="仿宋" w:eastAsia="仿宋" w:cs="仿宋"/>
                <w:sz w:val="32"/>
                <w:szCs w:val="32"/>
              </w:rPr>
            </w:pPr>
          </w:p>
        </w:tc>
        <w:tc>
          <w:tcPr>
            <w:tcW w:w="1770" w:type="dxa"/>
            <w:vAlign w:val="center"/>
          </w:tcPr>
          <w:p>
            <w:pPr>
              <w:spacing w:line="300" w:lineRule="exact"/>
              <w:jc w:val="left"/>
              <w:rPr>
                <w:rFonts w:hint="eastAsia" w:ascii="仿宋" w:hAnsi="仿宋" w:eastAsia="仿宋" w:cs="仿宋"/>
                <w:sz w:val="32"/>
                <w:szCs w:val="32"/>
              </w:rPr>
            </w:pPr>
          </w:p>
        </w:tc>
        <w:tc>
          <w:tcPr>
            <w:tcW w:w="1555" w:type="dxa"/>
            <w:vAlign w:val="center"/>
          </w:tcPr>
          <w:p>
            <w:pPr>
              <w:spacing w:line="300" w:lineRule="exact"/>
              <w:jc w:val="left"/>
              <w:rPr>
                <w:rFonts w:hint="eastAsia" w:ascii="仿宋" w:hAnsi="仿宋" w:eastAsia="仿宋" w:cs="仿宋"/>
                <w:sz w:val="32"/>
                <w:szCs w:val="32"/>
              </w:rPr>
            </w:pPr>
          </w:p>
        </w:tc>
        <w:tc>
          <w:tcPr>
            <w:tcW w:w="2902" w:type="dxa"/>
            <w:vAlign w:val="center"/>
          </w:tcPr>
          <w:p>
            <w:pPr>
              <w:spacing w:line="300" w:lineRule="exact"/>
              <w:jc w:val="left"/>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hint="eastAsia" w:ascii="仿宋" w:hAnsi="仿宋" w:eastAsia="仿宋" w:cs="仿宋"/>
                <w:sz w:val="32"/>
                <w:szCs w:val="32"/>
              </w:rPr>
            </w:pPr>
          </w:p>
        </w:tc>
        <w:tc>
          <w:tcPr>
            <w:tcW w:w="1770" w:type="dxa"/>
            <w:vAlign w:val="center"/>
          </w:tcPr>
          <w:p>
            <w:pPr>
              <w:spacing w:line="300" w:lineRule="exact"/>
              <w:jc w:val="left"/>
              <w:rPr>
                <w:rFonts w:hint="eastAsia" w:ascii="仿宋" w:hAnsi="仿宋" w:eastAsia="仿宋" w:cs="仿宋"/>
                <w:sz w:val="32"/>
                <w:szCs w:val="32"/>
              </w:rPr>
            </w:pPr>
          </w:p>
        </w:tc>
        <w:tc>
          <w:tcPr>
            <w:tcW w:w="1555" w:type="dxa"/>
            <w:vAlign w:val="center"/>
          </w:tcPr>
          <w:p>
            <w:pPr>
              <w:spacing w:line="300" w:lineRule="exact"/>
              <w:jc w:val="left"/>
              <w:rPr>
                <w:rFonts w:hint="eastAsia" w:ascii="仿宋" w:hAnsi="仿宋" w:eastAsia="仿宋" w:cs="仿宋"/>
                <w:sz w:val="32"/>
                <w:szCs w:val="32"/>
              </w:rPr>
            </w:pPr>
          </w:p>
        </w:tc>
        <w:tc>
          <w:tcPr>
            <w:tcW w:w="2902" w:type="dxa"/>
            <w:vAlign w:val="center"/>
          </w:tcPr>
          <w:p>
            <w:pPr>
              <w:spacing w:line="300" w:lineRule="exact"/>
              <w:jc w:val="left"/>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hint="eastAsia" w:ascii="仿宋" w:hAnsi="仿宋" w:eastAsia="仿宋" w:cs="仿宋"/>
                <w:sz w:val="32"/>
                <w:szCs w:val="32"/>
              </w:rPr>
            </w:pPr>
          </w:p>
        </w:tc>
        <w:tc>
          <w:tcPr>
            <w:tcW w:w="1770" w:type="dxa"/>
            <w:vAlign w:val="center"/>
          </w:tcPr>
          <w:p>
            <w:pPr>
              <w:spacing w:line="300" w:lineRule="exact"/>
              <w:jc w:val="left"/>
              <w:rPr>
                <w:rFonts w:hint="eastAsia" w:ascii="仿宋" w:hAnsi="仿宋" w:eastAsia="仿宋" w:cs="仿宋"/>
                <w:sz w:val="32"/>
                <w:szCs w:val="32"/>
              </w:rPr>
            </w:pPr>
          </w:p>
        </w:tc>
        <w:tc>
          <w:tcPr>
            <w:tcW w:w="1555" w:type="dxa"/>
            <w:vAlign w:val="center"/>
          </w:tcPr>
          <w:p>
            <w:pPr>
              <w:spacing w:line="300" w:lineRule="exact"/>
              <w:jc w:val="left"/>
              <w:rPr>
                <w:rFonts w:hint="eastAsia" w:ascii="仿宋" w:hAnsi="仿宋" w:eastAsia="仿宋" w:cs="仿宋"/>
                <w:sz w:val="32"/>
                <w:szCs w:val="32"/>
              </w:rPr>
            </w:pPr>
          </w:p>
        </w:tc>
        <w:tc>
          <w:tcPr>
            <w:tcW w:w="2902" w:type="dxa"/>
            <w:vAlign w:val="center"/>
          </w:tcPr>
          <w:p>
            <w:pPr>
              <w:spacing w:line="300" w:lineRule="exact"/>
              <w:jc w:val="left"/>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hint="eastAsia" w:ascii="仿宋" w:hAnsi="仿宋" w:eastAsia="仿宋" w:cs="仿宋"/>
                <w:sz w:val="32"/>
                <w:szCs w:val="32"/>
              </w:rPr>
            </w:pPr>
          </w:p>
        </w:tc>
        <w:tc>
          <w:tcPr>
            <w:tcW w:w="1770" w:type="dxa"/>
            <w:vAlign w:val="center"/>
          </w:tcPr>
          <w:p>
            <w:pPr>
              <w:spacing w:line="300" w:lineRule="exact"/>
              <w:jc w:val="left"/>
              <w:rPr>
                <w:rFonts w:hint="eastAsia" w:ascii="仿宋" w:hAnsi="仿宋" w:eastAsia="仿宋" w:cs="仿宋"/>
                <w:sz w:val="32"/>
                <w:szCs w:val="32"/>
              </w:rPr>
            </w:pPr>
          </w:p>
        </w:tc>
        <w:tc>
          <w:tcPr>
            <w:tcW w:w="1555" w:type="dxa"/>
            <w:vAlign w:val="center"/>
          </w:tcPr>
          <w:p>
            <w:pPr>
              <w:spacing w:line="300" w:lineRule="exact"/>
              <w:jc w:val="left"/>
              <w:rPr>
                <w:rFonts w:hint="eastAsia" w:ascii="仿宋" w:hAnsi="仿宋" w:eastAsia="仿宋" w:cs="仿宋"/>
                <w:sz w:val="32"/>
                <w:szCs w:val="32"/>
              </w:rPr>
            </w:pPr>
          </w:p>
        </w:tc>
        <w:tc>
          <w:tcPr>
            <w:tcW w:w="2902" w:type="dxa"/>
            <w:vAlign w:val="center"/>
          </w:tcPr>
          <w:p>
            <w:pPr>
              <w:spacing w:line="300" w:lineRule="exact"/>
              <w:jc w:val="left"/>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528" w:type="dxa"/>
            <w:vAlign w:val="center"/>
          </w:tcPr>
          <w:p>
            <w:pPr>
              <w:spacing w:line="300" w:lineRule="exact"/>
              <w:jc w:val="left"/>
              <w:rPr>
                <w:rFonts w:hint="eastAsia" w:ascii="仿宋" w:hAnsi="仿宋" w:eastAsia="仿宋" w:cs="仿宋"/>
                <w:sz w:val="32"/>
                <w:szCs w:val="32"/>
              </w:rPr>
            </w:pPr>
          </w:p>
        </w:tc>
        <w:tc>
          <w:tcPr>
            <w:tcW w:w="1770" w:type="dxa"/>
            <w:vAlign w:val="center"/>
          </w:tcPr>
          <w:p>
            <w:pPr>
              <w:spacing w:line="300" w:lineRule="exact"/>
              <w:jc w:val="left"/>
              <w:rPr>
                <w:rFonts w:hint="eastAsia" w:ascii="仿宋" w:hAnsi="仿宋" w:eastAsia="仿宋" w:cs="仿宋"/>
                <w:sz w:val="32"/>
                <w:szCs w:val="32"/>
              </w:rPr>
            </w:pPr>
          </w:p>
        </w:tc>
        <w:tc>
          <w:tcPr>
            <w:tcW w:w="1555" w:type="dxa"/>
            <w:vAlign w:val="center"/>
          </w:tcPr>
          <w:p>
            <w:pPr>
              <w:spacing w:line="300" w:lineRule="exact"/>
              <w:jc w:val="left"/>
              <w:rPr>
                <w:rFonts w:hint="eastAsia" w:ascii="仿宋" w:hAnsi="仿宋" w:eastAsia="仿宋" w:cs="仿宋"/>
                <w:sz w:val="32"/>
                <w:szCs w:val="32"/>
              </w:rPr>
            </w:pPr>
          </w:p>
        </w:tc>
        <w:tc>
          <w:tcPr>
            <w:tcW w:w="2902" w:type="dxa"/>
            <w:vAlign w:val="center"/>
          </w:tcPr>
          <w:p>
            <w:pPr>
              <w:spacing w:line="300" w:lineRule="exact"/>
              <w:jc w:val="left"/>
              <w:rPr>
                <w:rFonts w:hint="eastAsia" w:ascii="仿宋" w:hAnsi="仿宋" w:eastAsia="仿宋" w:cs="仿宋"/>
                <w:sz w:val="32"/>
                <w:szCs w:val="32"/>
              </w:rPr>
            </w:pPr>
          </w:p>
        </w:tc>
      </w:tr>
    </w:tbl>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二、部门预算安排的总体情况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按照预算管理有关规定，目前我县部门预算的编制实行综合预算制度，即全部收入和支出都反映在预算中。</w:t>
      </w:r>
    </w:p>
    <w:p>
      <w:pPr>
        <w:ind w:firstLine="640"/>
        <w:rPr>
          <w:rFonts w:ascii="楷体" w:hAnsi="楷体" w:eastAsia="楷体"/>
          <w:b/>
        </w:rPr>
      </w:pPr>
      <w:r>
        <w:rPr>
          <w:rFonts w:ascii="楷体" w:hAnsi="楷体" w:eastAsia="楷体"/>
          <w:b/>
        </w:rPr>
        <w:t>1</w:t>
      </w:r>
      <w:r>
        <w:rPr>
          <w:rFonts w:hint="eastAsia" w:ascii="楷体" w:hAnsi="楷体" w:eastAsia="楷体"/>
          <w:b/>
        </w:rPr>
        <w:t>、收入说明</w:t>
      </w:r>
    </w:p>
    <w:p>
      <w:pPr>
        <w:rPr>
          <w:rFonts w:ascii="宋体" w:cs="宋体"/>
          <w:sz w:val="18"/>
          <w:szCs w:val="18"/>
        </w:rPr>
      </w:pPr>
      <w:r>
        <w:rPr>
          <w:rFonts w:hint="eastAsia"/>
        </w:rPr>
        <w:t>反映本部门当年全部收入。</w:t>
      </w:r>
      <w:r>
        <w:rPr>
          <w:rFonts w:hint="eastAsia"/>
          <w:lang w:eastAsia="zh-CN"/>
        </w:rPr>
        <w:t>2019年</w:t>
      </w:r>
      <w:r>
        <w:rPr>
          <w:rFonts w:hint="eastAsia"/>
        </w:rPr>
        <w:t>预算收入总额3204.3万元，其中：财政拨款收入3204.3万元（包括一般公共预算3204.3万元、政府性基金预算</w:t>
      </w:r>
      <w:r>
        <w:t>0</w:t>
      </w:r>
      <w:r>
        <w:rPr>
          <w:rFonts w:hint="eastAsia"/>
        </w:rPr>
        <w:t>万元、国有资本经营预算</w:t>
      </w:r>
      <w:r>
        <w:t>0</w:t>
      </w:r>
      <w:r>
        <w:rPr>
          <w:rFonts w:hint="eastAsia"/>
        </w:rPr>
        <w:t>万元）、上级补助收入</w:t>
      </w:r>
      <w:r>
        <w:t>0</w:t>
      </w:r>
      <w:r>
        <w:rPr>
          <w:rFonts w:hint="eastAsia"/>
        </w:rPr>
        <w:t>万元、事业收入</w:t>
      </w:r>
      <w:r>
        <w:t>0</w:t>
      </w:r>
      <w:r>
        <w:rPr>
          <w:rFonts w:hint="eastAsia"/>
        </w:rPr>
        <w:t>万元、经营收入</w:t>
      </w:r>
      <w:r>
        <w:t>0</w:t>
      </w:r>
      <w:r>
        <w:rPr>
          <w:rFonts w:hint="eastAsia"/>
        </w:rPr>
        <w:t>万元、附属单位上缴收入</w:t>
      </w:r>
      <w:r>
        <w:t>0</w:t>
      </w:r>
      <w:r>
        <w:rPr>
          <w:rFonts w:hint="eastAsia"/>
        </w:rPr>
        <w:t>万元、其他收入</w:t>
      </w:r>
      <w:r>
        <w:t>0</w:t>
      </w:r>
      <w:r>
        <w:rPr>
          <w:rFonts w:hint="eastAsia"/>
        </w:rPr>
        <w:t>万元。</w:t>
      </w:r>
    </w:p>
    <w:p>
      <w:pPr>
        <w:ind w:firstLine="640"/>
        <w:rPr>
          <w:rFonts w:ascii="楷体" w:hAnsi="楷体" w:eastAsia="楷体"/>
          <w:b/>
        </w:rPr>
      </w:pPr>
      <w:r>
        <w:rPr>
          <w:rFonts w:ascii="楷体" w:hAnsi="楷体" w:eastAsia="楷体"/>
          <w:b/>
        </w:rPr>
        <w:t>2</w:t>
      </w:r>
      <w:r>
        <w:rPr>
          <w:rFonts w:hint="eastAsia" w:ascii="楷体" w:hAnsi="楷体" w:eastAsia="楷体"/>
          <w:b/>
        </w:rPr>
        <w:t>、支出说明</w:t>
      </w:r>
    </w:p>
    <w:p>
      <w:pPr>
        <w:ind w:firstLine="640"/>
      </w:pPr>
      <w:r>
        <w:rPr>
          <w:rFonts w:hint="eastAsia"/>
        </w:rPr>
        <w:t>收支预算总表支出栏、基本支出表、项目支出表按经济分类和支出功能分类科目编制，反映香河广播电视台年度部门预算中支出预算的总体情况。</w:t>
      </w:r>
      <w:r>
        <w:rPr>
          <w:rFonts w:hint="eastAsia"/>
          <w:lang w:eastAsia="zh-CN"/>
        </w:rPr>
        <w:t>2019年</w:t>
      </w:r>
      <w:r>
        <w:rPr>
          <w:rFonts w:hint="eastAsia"/>
        </w:rPr>
        <w:t>支出预算3204.3万元，其中基本支出1211.33万元，包括人员经费</w:t>
      </w:r>
      <w:r>
        <w:rPr>
          <w:rFonts w:hint="eastAsia"/>
          <w:lang w:val="en-US" w:eastAsia="zh-CN"/>
        </w:rPr>
        <w:t>951.06万元</w:t>
      </w:r>
      <w:r>
        <w:rPr>
          <w:rFonts w:hint="eastAsia"/>
        </w:rPr>
        <w:t>和日常公用经费</w:t>
      </w:r>
      <w:r>
        <w:rPr>
          <w:rFonts w:hint="eastAsia"/>
          <w:lang w:val="en-US" w:eastAsia="zh-CN"/>
        </w:rPr>
        <w:t>260.27万元</w:t>
      </w:r>
      <w:r>
        <w:rPr>
          <w:rFonts w:hint="eastAsia"/>
        </w:rPr>
        <w:t>；项目支出1992.97万元，包括本级支出1992.97万元和对下补助支出</w:t>
      </w:r>
      <w:r>
        <w:t>0</w:t>
      </w:r>
      <w:r>
        <w:rPr>
          <w:rFonts w:hint="eastAsia"/>
        </w:rPr>
        <w:t>万元，主要为公益广告制作经费、</w:t>
      </w:r>
      <w:r>
        <w:rPr>
          <w:rFonts w:hint="eastAsia"/>
          <w:lang w:eastAsia="zh-CN"/>
        </w:rPr>
        <w:t>电视台运行补助、融媒体建设资金</w:t>
      </w:r>
      <w:r>
        <w:rPr>
          <w:rFonts w:hint="eastAsia"/>
        </w:rPr>
        <w:t>等。上缴上级支出</w:t>
      </w:r>
      <w:r>
        <w:t>0</w:t>
      </w:r>
      <w:r>
        <w:rPr>
          <w:rFonts w:hint="eastAsia"/>
        </w:rPr>
        <w:t>万元，；其他支出</w:t>
      </w:r>
      <w:r>
        <w:t>0</w:t>
      </w:r>
      <w:r>
        <w:rPr>
          <w:rFonts w:hint="eastAsia"/>
        </w:rPr>
        <w:t>万元。</w:t>
      </w:r>
    </w:p>
    <w:p>
      <w:pPr>
        <w:ind w:firstLine="640"/>
        <w:rPr>
          <w:rFonts w:ascii="楷体" w:hAnsi="楷体" w:eastAsia="楷体"/>
          <w:b/>
        </w:rPr>
      </w:pPr>
      <w:r>
        <w:rPr>
          <w:rFonts w:ascii="楷体" w:hAnsi="楷体" w:eastAsia="楷体"/>
          <w:b/>
        </w:rPr>
        <w:t>3</w:t>
      </w:r>
      <w:r>
        <w:rPr>
          <w:rFonts w:hint="eastAsia" w:ascii="楷体" w:hAnsi="楷体" w:eastAsia="楷体"/>
          <w:b/>
        </w:rPr>
        <w:t>、比上年增减情况</w:t>
      </w:r>
    </w:p>
    <w:p>
      <w:pPr>
        <w:ind w:firstLine="640"/>
      </w:pPr>
      <w:r>
        <w:rPr>
          <w:rFonts w:hint="eastAsia"/>
          <w:lang w:eastAsia="zh-CN"/>
        </w:rPr>
        <w:t>2019年</w:t>
      </w:r>
      <w:r>
        <w:rPr>
          <w:rFonts w:hint="eastAsia"/>
        </w:rPr>
        <w:t>预算收支安排3204.3万元，较</w:t>
      </w:r>
      <w:r>
        <w:t>201</w:t>
      </w:r>
      <w:r>
        <w:rPr>
          <w:rFonts w:hint="eastAsia"/>
          <w:lang w:val="en-US" w:eastAsia="zh-CN"/>
        </w:rPr>
        <w:t>8</w:t>
      </w:r>
      <w:r>
        <w:rPr>
          <w:rFonts w:hint="eastAsia"/>
        </w:rPr>
        <w:t>年预算</w:t>
      </w:r>
      <w:r>
        <w:rPr>
          <w:rFonts w:hint="eastAsia"/>
          <w:lang w:eastAsia="zh-CN"/>
        </w:rPr>
        <w:t>减少</w:t>
      </w:r>
      <w:r>
        <w:rPr>
          <w:rFonts w:hint="eastAsia"/>
          <w:lang w:val="en-US" w:eastAsia="zh-CN"/>
        </w:rPr>
        <w:t>50.64</w:t>
      </w:r>
      <w:bookmarkStart w:id="2" w:name="_GoBack"/>
      <w:bookmarkEnd w:id="2"/>
      <w:r>
        <w:rPr>
          <w:rFonts w:hint="eastAsia"/>
        </w:rPr>
        <w:t>万元，其中：基本支出</w:t>
      </w:r>
      <w:r>
        <w:rPr>
          <w:rFonts w:hint="eastAsia"/>
          <w:lang w:eastAsia="zh-CN"/>
        </w:rPr>
        <w:t>减少</w:t>
      </w:r>
      <w:r>
        <w:rPr>
          <w:rFonts w:hint="eastAsia"/>
          <w:lang w:val="en-US" w:eastAsia="zh-CN"/>
        </w:rPr>
        <w:t>402.85</w:t>
      </w:r>
      <w:r>
        <w:rPr>
          <w:rFonts w:hint="eastAsia"/>
        </w:rPr>
        <w:t>万元，主要为</w:t>
      </w:r>
      <w:r>
        <w:rPr>
          <w:rFonts w:hint="eastAsia"/>
          <w:lang w:eastAsia="zh-CN"/>
        </w:rPr>
        <w:t>减少</w:t>
      </w:r>
      <w:r>
        <w:rPr>
          <w:rFonts w:hint="eastAsia"/>
        </w:rPr>
        <w:t>人员经费支出；项目支出增加</w:t>
      </w:r>
      <w:r>
        <w:rPr>
          <w:rFonts w:hint="eastAsia"/>
          <w:lang w:val="en-US" w:eastAsia="zh-CN"/>
        </w:rPr>
        <w:t>352.21</w:t>
      </w:r>
      <w:r>
        <w:rPr>
          <w:rFonts w:hint="eastAsia"/>
        </w:rPr>
        <w:t>万元，主要为公益广告制作及</w:t>
      </w:r>
      <w:r>
        <w:rPr>
          <w:rFonts w:hint="eastAsia"/>
          <w:lang w:eastAsia="zh-CN"/>
        </w:rPr>
        <w:t>与融媒体中心建设资金</w:t>
      </w:r>
      <w:r>
        <w:rPr>
          <w:rFonts w:hint="eastAsia"/>
        </w:rPr>
        <w:t>等项目支出。</w:t>
      </w:r>
    </w:p>
    <w:p>
      <w:pPr>
        <w:ind w:firstLine="640"/>
        <w:rPr>
          <w:rFonts w:ascii="黑体" w:hAnsi="黑体" w:eastAsia="黑体"/>
        </w:rPr>
      </w:pPr>
      <w:r>
        <w:rPr>
          <w:rFonts w:hint="eastAsia" w:ascii="黑体" w:hAnsi="黑体" w:eastAsia="黑体"/>
        </w:rPr>
        <w:t>三、机关运行经费安排情况</w:t>
      </w:r>
    </w:p>
    <w:p>
      <w:pPr>
        <w:autoSpaceDE w:val="0"/>
        <w:autoSpaceDN w:val="0"/>
        <w:adjustRightInd w:val="0"/>
        <w:ind w:left="198" w:firstLine="640" w:firstLineChars="200"/>
        <w:jc w:val="left"/>
        <w:rPr>
          <w:color w:val="FF0000"/>
        </w:rPr>
      </w:pPr>
      <w:r>
        <w:rPr>
          <w:rFonts w:hint="eastAsia"/>
          <w:lang w:eastAsia="zh-CN"/>
        </w:rPr>
        <w:t>2019年</w:t>
      </w:r>
      <w:r>
        <w:rPr>
          <w:rFonts w:hint="eastAsia"/>
        </w:rPr>
        <w:t>机关运行经费共计安排</w:t>
      </w:r>
      <w:r>
        <w:rPr>
          <w:rFonts w:hint="eastAsia"/>
          <w:lang w:val="en-US" w:eastAsia="zh-CN"/>
        </w:rPr>
        <w:t>260.27</w:t>
      </w:r>
      <w:r>
        <w:rPr>
          <w:rFonts w:hint="eastAsia"/>
        </w:rPr>
        <w:t>万元，主要用于办公区的日常维修、办公用房水电费、办公用房取暖费、办公用房物业管理费等日常运行支出。</w:t>
      </w:r>
    </w:p>
    <w:p>
      <w:pPr>
        <w:ind w:firstLine="640"/>
        <w:rPr>
          <w:rFonts w:ascii="黑体" w:hAnsi="黑体" w:eastAsia="黑体"/>
        </w:rPr>
      </w:pPr>
      <w:r>
        <w:rPr>
          <w:rFonts w:hint="eastAsia" w:ascii="黑体" w:hAnsi="黑体" w:eastAsia="黑体"/>
        </w:rPr>
        <w:t>四、财政拨款“三公”经费预算情况及增减变化原因</w:t>
      </w:r>
    </w:p>
    <w:p>
      <w:pPr>
        <w:autoSpaceDE w:val="0"/>
        <w:autoSpaceDN w:val="0"/>
        <w:adjustRightInd w:val="0"/>
        <w:ind w:left="198" w:firstLine="640" w:firstLineChars="200"/>
        <w:jc w:val="left"/>
        <w:rPr>
          <w:color w:val="FF0000"/>
        </w:rPr>
      </w:pPr>
      <w:r>
        <w:rPr>
          <w:rFonts w:hint="eastAsia"/>
          <w:lang w:eastAsia="zh-CN"/>
        </w:rPr>
        <w:t>2019年</w:t>
      </w:r>
      <w:r>
        <w:rPr>
          <w:rFonts w:hint="eastAsia"/>
        </w:rPr>
        <w:t>，本部门“三公”经费预算安排</w:t>
      </w:r>
      <w:r>
        <w:t>3.</w:t>
      </w:r>
      <w:r>
        <w:rPr>
          <w:rFonts w:hint="eastAsia"/>
          <w:lang w:val="en-US" w:eastAsia="zh-CN"/>
        </w:rPr>
        <w:t>8</w:t>
      </w:r>
      <w:r>
        <w:rPr>
          <w:rFonts w:hint="eastAsia"/>
        </w:rPr>
        <w:t>万元</w:t>
      </w:r>
      <w:r>
        <w:rPr>
          <w:rFonts w:hint="eastAsia" w:ascii="方正仿宋_GBK" w:hAnsi="宋体" w:eastAsia="方正仿宋_GBK" w:cs="宋体"/>
          <w:color w:val="000000"/>
          <w:kern w:val="0"/>
        </w:rPr>
        <w:t>（</w:t>
      </w:r>
      <w:r>
        <w:rPr>
          <w:rFonts w:hint="eastAsia"/>
        </w:rPr>
        <w:t>包括一般公共预算</w:t>
      </w:r>
      <w:r>
        <w:rPr>
          <w:rFonts w:hint="eastAsia"/>
          <w:lang w:val="en-US" w:eastAsia="zh-CN"/>
        </w:rPr>
        <w:t>3.8</w:t>
      </w:r>
      <w:r>
        <w:rPr>
          <w:rFonts w:hint="eastAsia"/>
        </w:rPr>
        <w:t>万元、政府性基金预算</w:t>
      </w:r>
      <w:r>
        <w:t>0</w:t>
      </w:r>
      <w:r>
        <w:rPr>
          <w:rFonts w:hint="eastAsia"/>
        </w:rPr>
        <w:t>万元、国有资本经营预算</w:t>
      </w:r>
      <w:r>
        <w:t>0</w:t>
      </w:r>
      <w:r>
        <w:rPr>
          <w:rFonts w:hint="eastAsia"/>
        </w:rPr>
        <w:t>万元和财政专户核拨资金</w:t>
      </w:r>
      <w:r>
        <w:t>0</w:t>
      </w:r>
      <w:r>
        <w:rPr>
          <w:rFonts w:hint="eastAsia"/>
        </w:rPr>
        <w:t>万元</w:t>
      </w:r>
      <w:r>
        <w:rPr>
          <w:rFonts w:hint="eastAsia" w:ascii="方正仿宋_GBK" w:hAnsi="宋体" w:eastAsia="方正仿宋_GBK" w:cs="宋体"/>
          <w:color w:val="000000"/>
          <w:kern w:val="0"/>
        </w:rPr>
        <w:t>）</w:t>
      </w:r>
      <w:r>
        <w:rPr>
          <w:rFonts w:hint="eastAsia"/>
        </w:rPr>
        <w:t>，其中因公出国（境）费</w:t>
      </w:r>
      <w:r>
        <w:t>0</w:t>
      </w:r>
      <w:r>
        <w:rPr>
          <w:rFonts w:hint="eastAsia"/>
        </w:rPr>
        <w:t>万元，与</w:t>
      </w:r>
      <w:r>
        <w:t>201</w:t>
      </w:r>
      <w:r>
        <w:rPr>
          <w:rFonts w:hint="eastAsia"/>
          <w:lang w:val="en-US" w:eastAsia="zh-CN"/>
        </w:rPr>
        <w:t>8</w:t>
      </w:r>
      <w:r>
        <w:rPr>
          <w:rFonts w:hint="eastAsia"/>
          <w:color w:val="auto"/>
        </w:rPr>
        <w:t>年持平</w:t>
      </w:r>
      <w:r>
        <w:rPr>
          <w:rFonts w:hint="eastAsia"/>
          <w:color w:val="auto"/>
          <w:lang w:eastAsia="zh-CN"/>
        </w:rPr>
        <w:t>，无增减变动</w:t>
      </w:r>
      <w:r>
        <w:rPr>
          <w:rFonts w:hint="eastAsia"/>
          <w:color w:val="auto"/>
        </w:rPr>
        <w:t>；公务用车购置及运维费</w:t>
      </w:r>
      <w:r>
        <w:rPr>
          <w:rFonts w:hint="eastAsia"/>
          <w:color w:val="auto"/>
          <w:lang w:val="en-US" w:eastAsia="zh-CN"/>
        </w:rPr>
        <w:t>3.8</w:t>
      </w:r>
      <w:r>
        <w:rPr>
          <w:rFonts w:hint="eastAsia"/>
          <w:color w:val="auto"/>
        </w:rPr>
        <w:t>万元（其中：公务用车购置费为</w:t>
      </w:r>
      <w:r>
        <w:rPr>
          <w:color w:val="auto"/>
        </w:rPr>
        <w:t>0</w:t>
      </w:r>
      <w:r>
        <w:rPr>
          <w:rFonts w:hint="eastAsia"/>
          <w:color w:val="auto"/>
        </w:rPr>
        <w:t>，公务用车运行费</w:t>
      </w:r>
      <w:r>
        <w:rPr>
          <w:rFonts w:hint="eastAsia"/>
          <w:color w:val="auto"/>
          <w:lang w:val="en-US" w:eastAsia="zh-CN"/>
        </w:rPr>
        <w:t>3.8</w:t>
      </w:r>
      <w:r>
        <w:rPr>
          <w:rFonts w:hint="eastAsia"/>
          <w:color w:val="auto"/>
        </w:rPr>
        <w:t>万元</w:t>
      </w:r>
      <w:r>
        <w:rPr>
          <w:color w:val="auto"/>
        </w:rPr>
        <w:t>)</w:t>
      </w:r>
      <w:r>
        <w:rPr>
          <w:rFonts w:hint="eastAsia"/>
          <w:color w:val="auto"/>
        </w:rPr>
        <w:t>，</w:t>
      </w:r>
      <w:r>
        <w:rPr>
          <w:rFonts w:hint="eastAsia"/>
          <w:color w:val="auto"/>
          <w:lang w:eastAsia="zh-CN"/>
        </w:rPr>
        <w:t>比</w:t>
      </w:r>
      <w:r>
        <w:rPr>
          <w:color w:val="auto"/>
        </w:rPr>
        <w:t>201</w:t>
      </w:r>
      <w:r>
        <w:rPr>
          <w:rFonts w:hint="eastAsia"/>
          <w:color w:val="auto"/>
          <w:lang w:val="en-US" w:eastAsia="zh-CN"/>
        </w:rPr>
        <w:t>8</w:t>
      </w:r>
      <w:r>
        <w:rPr>
          <w:rFonts w:hint="eastAsia"/>
          <w:color w:val="auto"/>
        </w:rPr>
        <w:t>年</w:t>
      </w:r>
      <w:r>
        <w:rPr>
          <w:rFonts w:hint="eastAsia"/>
          <w:color w:val="auto"/>
          <w:lang w:eastAsia="zh-CN"/>
        </w:rPr>
        <w:t>增加</w:t>
      </w:r>
      <w:r>
        <w:rPr>
          <w:rFonts w:hint="eastAsia"/>
          <w:color w:val="auto"/>
          <w:lang w:val="en-US" w:eastAsia="zh-CN"/>
        </w:rPr>
        <w:t>1.9万元</w:t>
      </w:r>
      <w:r>
        <w:rPr>
          <w:rFonts w:hint="eastAsia"/>
          <w:lang w:eastAsia="zh-CN"/>
        </w:rPr>
        <w:t>，主要原因是增加一辆应急保障车维护经费；</w:t>
      </w:r>
      <w:r>
        <w:rPr>
          <w:rFonts w:hint="eastAsia"/>
        </w:rPr>
        <w:t>公务接待费</w:t>
      </w:r>
      <w:r>
        <w:rPr>
          <w:rFonts w:hint="eastAsia"/>
          <w:lang w:val="en-US" w:eastAsia="zh-CN"/>
        </w:rPr>
        <w:t>0</w:t>
      </w:r>
      <w:r>
        <w:rPr>
          <w:rFonts w:hint="eastAsia"/>
        </w:rPr>
        <w:t>万元，与</w:t>
      </w:r>
      <w:r>
        <w:t>201</w:t>
      </w:r>
      <w:r>
        <w:rPr>
          <w:rFonts w:hint="eastAsia"/>
          <w:lang w:val="en-US" w:eastAsia="zh-CN"/>
        </w:rPr>
        <w:t>8</w:t>
      </w:r>
      <w:r>
        <w:rPr>
          <w:rFonts w:hint="eastAsia"/>
        </w:rPr>
        <w:t>年减少</w:t>
      </w:r>
      <w:r>
        <w:rPr>
          <w:rFonts w:hint="eastAsia"/>
          <w:lang w:val="en-US" w:eastAsia="zh-CN"/>
        </w:rPr>
        <w:t>1.22</w:t>
      </w:r>
      <w:r>
        <w:rPr>
          <w:rFonts w:hint="eastAsia"/>
        </w:rPr>
        <w:t>万元，主要原因是厉行节约，减少公务接待。</w:t>
      </w:r>
    </w:p>
    <w:p>
      <w:pPr>
        <w:autoSpaceDE w:val="0"/>
        <w:autoSpaceDN w:val="0"/>
        <w:adjustRightInd w:val="0"/>
        <w:ind w:left="198" w:firstLine="640" w:firstLineChars="200"/>
        <w:jc w:val="left"/>
      </w:pPr>
    </w:p>
    <w:p>
      <w:pPr>
        <w:ind w:firstLine="640"/>
        <w:rPr>
          <w:rFonts w:ascii="黑体" w:hAnsi="黑体" w:eastAsia="黑体"/>
        </w:rPr>
      </w:pPr>
      <w:r>
        <w:rPr>
          <w:rFonts w:hint="eastAsia" w:ascii="黑体" w:hAnsi="黑体" w:eastAsia="黑体"/>
        </w:rPr>
        <w:t>五、绩效预算信息</w:t>
      </w:r>
    </w:p>
    <w:p>
      <w:pPr>
        <w:ind w:firstLine="643" w:firstLineChars="200"/>
        <w:jc w:val="left"/>
        <w:rPr>
          <w:rFonts w:ascii="宋体"/>
          <w:b/>
        </w:rPr>
      </w:pPr>
      <w:bookmarkStart w:id="0" w:name="_Toc471398463"/>
      <w:r>
        <w:rPr>
          <w:rFonts w:hint="eastAsia" w:ascii="宋体" w:hAnsi="宋体"/>
          <w:b/>
        </w:rPr>
        <w:t>总体绩效目标：</w:t>
      </w:r>
    </w:p>
    <w:p>
      <w:pPr>
        <w:ind w:firstLine="640" w:firstLineChars="200"/>
        <w:jc w:val="left"/>
      </w:pPr>
      <w:r>
        <w:rPr>
          <w:rFonts w:hint="eastAsia"/>
        </w:rPr>
        <w:t>宣传党的路线、方针、政策和县委、县政府的工作部署，坚持正确舆论导向，发挥主流媒体作用；办好各类广播电视节目；开展各类宣传工作；配合上级台完成我县的采访报道工作并提供各类节目；承担县委、县政府宣传片的创作生产、专题片等的创作生产；做好传统媒体与新媒体的融合拓展，负责相关设备的更新运行和维护。研发新节目，打造品牌活动；媒体识别度和影响力进一步提升，收听收看群体扩大；广告创收任务完成。通过技术升级，实现县级台内容资源互通互享，提高节目制作和传播能力；拓展新媒体传播途径，开拓新型业务。建立起完备的广播电视安全播出保障体系。重大公益工程和公益活动扎实推进。统筹规划并组织实施广播影视产业发展</w:t>
      </w:r>
      <w:r>
        <w:t>,</w:t>
      </w:r>
      <w:r>
        <w:rPr>
          <w:rFonts w:hint="eastAsia"/>
        </w:rPr>
        <w:t>推进广电网与电信网、互联网三网融合。广播影视产业不断发展壮大。拟定广播影视产业发展规划；广播影视节目内容和质量管理。确保各项业务工作谋划到位、顺利开展。保障机关工作正常高效运转。</w:t>
      </w:r>
    </w:p>
    <w:p>
      <w:pPr>
        <w:ind w:firstLine="643" w:firstLineChars="200"/>
        <w:jc w:val="left"/>
        <w:outlineLvl w:val="0"/>
        <w:rPr>
          <w:rFonts w:ascii="宋体"/>
          <w:b/>
        </w:rPr>
      </w:pPr>
      <w:r>
        <w:rPr>
          <w:rFonts w:hint="eastAsia" w:ascii="宋体" w:hAnsi="宋体"/>
          <w:b/>
        </w:rPr>
        <w:t>部门职责及工作活动绩效目标指标：</w:t>
      </w:r>
    </w:p>
    <w:p>
      <w:pPr>
        <w:jc w:val="center"/>
        <w:outlineLvl w:val="0"/>
        <w:rPr>
          <w:rFonts w:ascii="方正小标宋_GBK" w:hAnsi="Times New Roman" w:eastAsia="方正小标宋_GBK"/>
          <w:szCs w:val="24"/>
        </w:rPr>
      </w:pPr>
    </w:p>
    <w:p>
      <w:pPr>
        <w:jc w:val="center"/>
        <w:outlineLvl w:val="0"/>
        <w:rPr>
          <w:rFonts w:hint="eastAsia" w:ascii="方正小标宋_GBK" w:hAnsi="Times New Roman" w:eastAsia="方正小标宋_GBK"/>
          <w:szCs w:val="24"/>
        </w:rPr>
      </w:pPr>
    </w:p>
    <w:p>
      <w:pPr>
        <w:jc w:val="center"/>
        <w:outlineLvl w:val="0"/>
        <w:rPr>
          <w:rFonts w:hint="eastAsia" w:ascii="方正小标宋_GBK" w:hAnsi="Times New Roman" w:eastAsia="方正小标宋_GBK"/>
          <w:szCs w:val="24"/>
        </w:rPr>
      </w:pPr>
    </w:p>
    <w:p>
      <w:pPr>
        <w:jc w:val="center"/>
        <w:outlineLvl w:val="0"/>
        <w:rPr>
          <w:rFonts w:hint="eastAsia" w:ascii="方正小标宋_GBK" w:hAnsi="Times New Roman" w:eastAsia="方正小标宋_GBK"/>
          <w:szCs w:val="24"/>
        </w:rPr>
      </w:pPr>
    </w:p>
    <w:p>
      <w:pPr>
        <w:jc w:val="center"/>
        <w:outlineLvl w:val="0"/>
        <w:rPr>
          <w:rFonts w:hint="eastAsia" w:ascii="仿宋" w:hAnsi="仿宋" w:eastAsia="仿宋" w:cs="仿宋"/>
          <w:sz w:val="21"/>
          <w:szCs w:val="21"/>
        </w:rPr>
      </w:pPr>
      <w:r>
        <w:rPr>
          <w:rFonts w:hint="eastAsia" w:ascii="仿宋" w:hAnsi="仿宋" w:eastAsia="仿宋" w:cs="仿宋"/>
          <w:sz w:val="21"/>
          <w:szCs w:val="21"/>
        </w:rPr>
        <w:t>部门职责-工作活动绩效目标</w:t>
      </w:r>
      <w:bookmarkEnd w:id="0"/>
    </w:p>
    <w:p>
      <w:pPr>
        <w:jc w:val="center"/>
        <w:outlineLvl w:val="0"/>
        <w:rPr>
          <w:rFonts w:hint="eastAsia" w:ascii="仿宋" w:hAnsi="仿宋" w:eastAsia="仿宋" w:cs="仿宋"/>
          <w:sz w:val="21"/>
          <w:szCs w:val="21"/>
        </w:rPr>
      </w:pPr>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461"/>
        <w:gridCol w:w="1995"/>
        <w:gridCol w:w="1575"/>
        <w:gridCol w:w="1050"/>
        <w:gridCol w:w="1155"/>
        <w:gridCol w:w="1155"/>
        <w:gridCol w:w="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9648" w:type="dxa"/>
            <w:gridSpan w:val="5"/>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lang w:val="en-US" w:eastAsia="zh-CN"/>
              </w:rPr>
              <w:t>359</w:t>
            </w:r>
            <w:r>
              <w:rPr>
                <w:rFonts w:hint="eastAsia" w:ascii="仿宋" w:hAnsi="仿宋" w:eastAsia="仿宋" w:cs="仿宋"/>
                <w:sz w:val="21"/>
                <w:szCs w:val="21"/>
              </w:rPr>
              <w:t>香河广播电视台</w:t>
            </w:r>
          </w:p>
        </w:tc>
        <w:tc>
          <w:tcPr>
            <w:tcW w:w="4286" w:type="dxa"/>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sz w:val="21"/>
                <w:szCs w:val="21"/>
              </w:rPr>
            </w:pPr>
            <w:r>
              <w:rPr>
                <w:rFonts w:hint="eastAsia" w:ascii="仿宋" w:hAnsi="仿宋" w:eastAsia="仿宋" w:cs="仿宋"/>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职责活动</w:t>
            </w:r>
          </w:p>
        </w:tc>
        <w:tc>
          <w:tcPr>
            <w:tcW w:w="1276" w:type="dxa"/>
            <w:vMerge w:val="restart"/>
            <w:vAlign w:val="center"/>
          </w:tcPr>
          <w:p>
            <w:pPr>
              <w:spacing w:line="300" w:lineRule="exact"/>
              <w:jc w:val="center"/>
              <w:rPr>
                <w:rFonts w:hint="eastAsia" w:ascii="仿宋" w:hAnsi="仿宋" w:eastAsia="仿宋" w:cs="仿宋"/>
                <w:b/>
                <w:sz w:val="21"/>
                <w:szCs w:val="21"/>
              </w:rPr>
            </w:pPr>
          </w:p>
        </w:tc>
        <w:tc>
          <w:tcPr>
            <w:tcW w:w="2461" w:type="dxa"/>
            <w:vMerge w:val="restart"/>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内容描述</w:t>
            </w:r>
          </w:p>
        </w:tc>
        <w:tc>
          <w:tcPr>
            <w:tcW w:w="1995" w:type="dxa"/>
            <w:vMerge w:val="restart"/>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575" w:type="dxa"/>
            <w:vMerge w:val="restart"/>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w:t>
            </w:r>
          </w:p>
        </w:tc>
        <w:tc>
          <w:tcPr>
            <w:tcW w:w="4286" w:type="dxa"/>
            <w:gridSpan w:val="4"/>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hint="eastAsia" w:ascii="仿宋" w:hAnsi="仿宋" w:eastAsia="仿宋" w:cs="仿宋"/>
                <w:sz w:val="21"/>
                <w:szCs w:val="21"/>
              </w:rPr>
            </w:pPr>
          </w:p>
        </w:tc>
        <w:tc>
          <w:tcPr>
            <w:tcW w:w="1276" w:type="dxa"/>
            <w:vMerge w:val="continue"/>
            <w:vAlign w:val="center"/>
          </w:tcPr>
          <w:p>
            <w:pPr>
              <w:spacing w:line="300" w:lineRule="exact"/>
              <w:jc w:val="left"/>
              <w:outlineLvl w:val="0"/>
              <w:rPr>
                <w:rFonts w:hint="eastAsia" w:ascii="仿宋" w:hAnsi="仿宋" w:eastAsia="仿宋" w:cs="仿宋"/>
                <w:sz w:val="21"/>
                <w:szCs w:val="21"/>
              </w:rPr>
            </w:pPr>
          </w:p>
        </w:tc>
        <w:tc>
          <w:tcPr>
            <w:tcW w:w="2461" w:type="dxa"/>
            <w:vMerge w:val="continue"/>
            <w:vAlign w:val="center"/>
          </w:tcPr>
          <w:p>
            <w:pPr>
              <w:spacing w:line="300" w:lineRule="exact"/>
              <w:jc w:val="left"/>
              <w:outlineLvl w:val="0"/>
              <w:rPr>
                <w:rFonts w:hint="eastAsia" w:ascii="仿宋" w:hAnsi="仿宋" w:eastAsia="仿宋" w:cs="仿宋"/>
                <w:sz w:val="21"/>
                <w:szCs w:val="21"/>
              </w:rPr>
            </w:pPr>
          </w:p>
        </w:tc>
        <w:tc>
          <w:tcPr>
            <w:tcW w:w="1995" w:type="dxa"/>
            <w:vMerge w:val="continue"/>
            <w:vAlign w:val="center"/>
          </w:tcPr>
          <w:p>
            <w:pPr>
              <w:spacing w:line="300" w:lineRule="exact"/>
              <w:jc w:val="left"/>
              <w:outlineLvl w:val="0"/>
              <w:rPr>
                <w:rFonts w:hint="eastAsia" w:ascii="仿宋" w:hAnsi="仿宋" w:eastAsia="仿宋" w:cs="仿宋"/>
                <w:sz w:val="21"/>
                <w:szCs w:val="21"/>
              </w:rPr>
            </w:pPr>
          </w:p>
        </w:tc>
        <w:tc>
          <w:tcPr>
            <w:tcW w:w="1575" w:type="dxa"/>
            <w:vMerge w:val="continue"/>
            <w:vAlign w:val="center"/>
          </w:tcPr>
          <w:p>
            <w:pPr>
              <w:spacing w:line="300" w:lineRule="exact"/>
              <w:jc w:val="left"/>
              <w:outlineLvl w:val="0"/>
              <w:rPr>
                <w:rFonts w:hint="eastAsia" w:ascii="仿宋" w:hAnsi="仿宋" w:eastAsia="仿宋" w:cs="仿宋"/>
                <w:sz w:val="21"/>
                <w:szCs w:val="21"/>
              </w:rPr>
            </w:pPr>
          </w:p>
        </w:tc>
        <w:tc>
          <w:tcPr>
            <w:tcW w:w="1050" w:type="dxa"/>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优</w:t>
            </w:r>
          </w:p>
        </w:tc>
        <w:tc>
          <w:tcPr>
            <w:tcW w:w="1155" w:type="dxa"/>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良</w:t>
            </w:r>
          </w:p>
        </w:tc>
        <w:tc>
          <w:tcPr>
            <w:tcW w:w="1155" w:type="dxa"/>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中</w:t>
            </w:r>
          </w:p>
        </w:tc>
        <w:tc>
          <w:tcPr>
            <w:tcW w:w="926" w:type="dxa"/>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sz w:val="21"/>
                <w:szCs w:val="21"/>
              </w:rPr>
            </w:pPr>
            <w:r>
              <w:rPr>
                <w:rFonts w:hint="eastAsia" w:ascii="仿宋" w:hAnsi="仿宋" w:eastAsia="仿宋" w:cs="仿宋"/>
                <w:b/>
                <w:sz w:val="21"/>
                <w:szCs w:val="21"/>
              </w:rPr>
              <w:t>广播影视事业建设</w:t>
            </w:r>
          </w:p>
        </w:tc>
        <w:tc>
          <w:tcPr>
            <w:tcW w:w="1276" w:type="dxa"/>
            <w:vAlign w:val="center"/>
          </w:tcPr>
          <w:p>
            <w:pPr>
              <w:spacing w:line="300" w:lineRule="exact"/>
              <w:jc w:val="left"/>
              <w:rPr>
                <w:rFonts w:hint="eastAsia" w:ascii="仿宋" w:hAnsi="仿宋" w:eastAsia="仿宋" w:cs="仿宋"/>
                <w:sz w:val="21"/>
                <w:szCs w:val="21"/>
              </w:rPr>
            </w:pPr>
          </w:p>
        </w:tc>
        <w:tc>
          <w:tcPr>
            <w:tcW w:w="2461"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做好各类广播电视节目制作、宣传、采访报道、传输发射实验以及影视剧、专题片等创作生产。建立广播电视安全播出保障体系，加强台站、安全播出管理。组织实施重大公益工程和公益活动。</w:t>
            </w:r>
          </w:p>
        </w:tc>
        <w:tc>
          <w:tcPr>
            <w:tcW w:w="199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宣传党的路线、方针、政策和县委、县政府的工作部署，坚持正确舆论导向，发挥主流媒体作用；办好各类广播电视节目；开展各类宣传工作；配合上级台完成我县的采访报道工作并提供各类节目；承担县委、县政府宣传片的创作生产、专题片等的创作生产；做好传统媒体与新媒体的融合拓展，负责相关设备的更新运行和维护。</w:t>
            </w:r>
          </w:p>
        </w:tc>
        <w:tc>
          <w:tcPr>
            <w:tcW w:w="1575" w:type="dxa"/>
            <w:vAlign w:val="center"/>
          </w:tcPr>
          <w:p>
            <w:pPr>
              <w:spacing w:line="300" w:lineRule="exact"/>
              <w:jc w:val="left"/>
              <w:rPr>
                <w:rFonts w:hint="eastAsia" w:ascii="仿宋" w:hAnsi="仿宋" w:eastAsia="仿宋" w:cs="仿宋"/>
                <w:sz w:val="21"/>
                <w:szCs w:val="21"/>
              </w:rPr>
            </w:pPr>
          </w:p>
        </w:tc>
        <w:tc>
          <w:tcPr>
            <w:tcW w:w="1050" w:type="dxa"/>
            <w:vAlign w:val="center"/>
          </w:tcPr>
          <w:p>
            <w:pPr>
              <w:spacing w:line="300" w:lineRule="exact"/>
              <w:jc w:val="center"/>
              <w:rPr>
                <w:rFonts w:hint="eastAsia" w:ascii="仿宋" w:hAnsi="仿宋" w:eastAsia="仿宋" w:cs="仿宋"/>
                <w:sz w:val="21"/>
                <w:szCs w:val="21"/>
              </w:rPr>
            </w:pPr>
          </w:p>
        </w:tc>
        <w:tc>
          <w:tcPr>
            <w:tcW w:w="1155" w:type="dxa"/>
            <w:vAlign w:val="center"/>
          </w:tcPr>
          <w:p>
            <w:pPr>
              <w:spacing w:line="300" w:lineRule="exact"/>
              <w:jc w:val="center"/>
              <w:rPr>
                <w:rFonts w:hint="eastAsia" w:ascii="仿宋" w:hAnsi="仿宋" w:eastAsia="仿宋" w:cs="仿宋"/>
                <w:sz w:val="21"/>
                <w:szCs w:val="21"/>
              </w:rPr>
            </w:pPr>
          </w:p>
        </w:tc>
        <w:tc>
          <w:tcPr>
            <w:tcW w:w="1155" w:type="dxa"/>
            <w:vAlign w:val="center"/>
          </w:tcPr>
          <w:p>
            <w:pPr>
              <w:spacing w:line="300" w:lineRule="exact"/>
              <w:jc w:val="center"/>
              <w:rPr>
                <w:rFonts w:hint="eastAsia" w:ascii="仿宋" w:hAnsi="仿宋" w:eastAsia="仿宋" w:cs="仿宋"/>
                <w:sz w:val="21"/>
                <w:szCs w:val="21"/>
              </w:rPr>
            </w:pPr>
          </w:p>
        </w:tc>
        <w:tc>
          <w:tcPr>
            <w:tcW w:w="926" w:type="dxa"/>
            <w:vAlign w:val="center"/>
          </w:tcPr>
          <w:p>
            <w:pPr>
              <w:spacing w:line="300" w:lineRule="exact"/>
              <w:jc w:val="center"/>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sz w:val="21"/>
                <w:szCs w:val="21"/>
              </w:rPr>
            </w:pPr>
            <w:r>
              <w:rPr>
                <w:rFonts w:hint="eastAsia" w:ascii="仿宋" w:hAnsi="仿宋" w:eastAsia="仿宋" w:cs="仿宋"/>
                <w:b/>
                <w:sz w:val="21"/>
                <w:szCs w:val="21"/>
              </w:rPr>
              <w:t>　　广播影视节目制作播出</w:t>
            </w:r>
          </w:p>
        </w:tc>
        <w:tc>
          <w:tcPr>
            <w:tcW w:w="1276" w:type="dxa"/>
            <w:vMerge w:val="restart"/>
            <w:vAlign w:val="center"/>
          </w:tcPr>
          <w:p>
            <w:pPr>
              <w:spacing w:line="300" w:lineRule="exact"/>
              <w:jc w:val="left"/>
              <w:rPr>
                <w:rFonts w:hint="eastAsia" w:ascii="仿宋" w:hAnsi="仿宋" w:eastAsia="仿宋" w:cs="仿宋"/>
                <w:sz w:val="21"/>
                <w:szCs w:val="21"/>
              </w:rPr>
            </w:pPr>
          </w:p>
        </w:tc>
        <w:tc>
          <w:tcPr>
            <w:tcW w:w="2461" w:type="dxa"/>
            <w:vMerge w:val="restart"/>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坚持正确舆论导向，发挥主流媒体作用，加强内容形式以及方法手段创新，提高广播电视覆盖人口规模与数量，提升电台、电视台影响力。</w:t>
            </w:r>
          </w:p>
        </w:tc>
        <w:tc>
          <w:tcPr>
            <w:tcW w:w="1995" w:type="dxa"/>
            <w:vMerge w:val="restart"/>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研发新节目，打造品牌活动；媒体识别度和影响力进一步提升，收听收看群体扩大；广告创收任务完成。</w:t>
            </w: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开办新栏目、新节目数量（个）</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≥6</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≥4</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对上报道录用率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≥60%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sz w:val="21"/>
                <w:szCs w:val="21"/>
              </w:rPr>
            </w:pPr>
            <w:r>
              <w:rPr>
                <w:rFonts w:hint="eastAsia" w:ascii="仿宋" w:hAnsi="仿宋" w:eastAsia="仿宋" w:cs="仿宋"/>
                <w:b/>
                <w:sz w:val="21"/>
                <w:szCs w:val="21"/>
              </w:rPr>
              <w:t>　　广播影视节目制作能力建设</w:t>
            </w:r>
          </w:p>
        </w:tc>
        <w:tc>
          <w:tcPr>
            <w:tcW w:w="1276" w:type="dxa"/>
            <w:vMerge w:val="restart"/>
            <w:vAlign w:val="center"/>
          </w:tcPr>
          <w:p>
            <w:pPr>
              <w:spacing w:line="300" w:lineRule="exact"/>
              <w:jc w:val="left"/>
              <w:rPr>
                <w:rFonts w:hint="eastAsia" w:ascii="仿宋" w:hAnsi="仿宋" w:eastAsia="仿宋" w:cs="仿宋"/>
                <w:sz w:val="21"/>
                <w:szCs w:val="21"/>
              </w:rPr>
            </w:pPr>
          </w:p>
        </w:tc>
        <w:tc>
          <w:tcPr>
            <w:tcW w:w="2461" w:type="dxa"/>
            <w:vMerge w:val="restart"/>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加强技术管理、技术升级改造及设备设施更新维护，开展新技术应用。向移动互联网跨越发展，打造智能生活服务类客户端，促</w:t>
            </w:r>
          </w:p>
          <w:p>
            <w:pPr>
              <w:spacing w:line="300" w:lineRule="exact"/>
              <w:jc w:val="left"/>
              <w:rPr>
                <w:rFonts w:hint="eastAsia" w:ascii="仿宋" w:hAnsi="仿宋" w:eastAsia="仿宋" w:cs="仿宋"/>
                <w:sz w:val="21"/>
                <w:szCs w:val="21"/>
              </w:rPr>
            </w:pPr>
          </w:p>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进媒体融合。</w:t>
            </w:r>
          </w:p>
        </w:tc>
        <w:tc>
          <w:tcPr>
            <w:tcW w:w="1995" w:type="dxa"/>
            <w:vMerge w:val="restart"/>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通过技术升级，实现县级台内容资源互通互享，提高节目制作和传播能力；拓展新媒体传播途径，开</w:t>
            </w:r>
          </w:p>
          <w:p>
            <w:pPr>
              <w:spacing w:line="300" w:lineRule="exact"/>
              <w:jc w:val="left"/>
              <w:rPr>
                <w:rFonts w:hint="eastAsia" w:ascii="仿宋" w:hAnsi="仿宋" w:eastAsia="仿宋" w:cs="仿宋"/>
                <w:sz w:val="21"/>
                <w:szCs w:val="21"/>
              </w:rPr>
            </w:pPr>
          </w:p>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拓新型业务。</w:t>
            </w: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新媒体的融合度</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播出安全度</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重要保证期停播时间≤3小时                  非重要保证期时间≤6小时</w:t>
            </w:r>
          </w:p>
        </w:tc>
        <w:tc>
          <w:tcPr>
            <w:tcW w:w="1155" w:type="dxa"/>
            <w:vAlign w:val="center"/>
          </w:tcPr>
          <w:p>
            <w:pPr>
              <w:spacing w:line="300" w:lineRule="exact"/>
              <w:jc w:val="center"/>
              <w:rPr>
                <w:rFonts w:hint="eastAsia" w:ascii="仿宋" w:hAnsi="仿宋" w:eastAsia="仿宋" w:cs="仿宋"/>
                <w:sz w:val="21"/>
                <w:szCs w:val="21"/>
              </w:rPr>
            </w:pPr>
          </w:p>
        </w:tc>
        <w:tc>
          <w:tcPr>
            <w:tcW w:w="1155" w:type="dxa"/>
            <w:vAlign w:val="center"/>
          </w:tcPr>
          <w:p>
            <w:pPr>
              <w:spacing w:line="300" w:lineRule="exact"/>
              <w:jc w:val="center"/>
              <w:rPr>
                <w:rFonts w:hint="eastAsia" w:ascii="仿宋" w:hAnsi="仿宋" w:eastAsia="仿宋" w:cs="仿宋"/>
                <w:sz w:val="21"/>
                <w:szCs w:val="21"/>
              </w:rPr>
            </w:pPr>
          </w:p>
        </w:tc>
        <w:tc>
          <w:tcPr>
            <w:tcW w:w="926" w:type="dxa"/>
            <w:vAlign w:val="center"/>
          </w:tcPr>
          <w:p>
            <w:pPr>
              <w:spacing w:line="300" w:lineRule="exact"/>
              <w:jc w:val="center"/>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数字化设备更新率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5"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新媒体设备利用率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190" w:hRule="atLeast"/>
          <w:jc w:val="center"/>
        </w:trPr>
        <w:tc>
          <w:tcPr>
            <w:tcW w:w="2341" w:type="dxa"/>
            <w:vAlign w:val="center"/>
          </w:tcPr>
          <w:p>
            <w:pPr>
              <w:spacing w:line="300" w:lineRule="exact"/>
              <w:jc w:val="left"/>
              <w:rPr>
                <w:rFonts w:hint="eastAsia" w:ascii="仿宋" w:hAnsi="仿宋" w:eastAsia="仿宋" w:cs="仿宋"/>
                <w:b/>
                <w:sz w:val="21"/>
                <w:szCs w:val="21"/>
              </w:rPr>
            </w:pPr>
            <w:r>
              <w:rPr>
                <w:rFonts w:hint="eastAsia" w:ascii="仿宋" w:hAnsi="仿宋" w:eastAsia="仿宋" w:cs="仿宋"/>
                <w:b/>
                <w:sz w:val="21"/>
                <w:szCs w:val="21"/>
              </w:rPr>
              <w:t>　　安全播出管理</w:t>
            </w:r>
          </w:p>
        </w:tc>
        <w:tc>
          <w:tcPr>
            <w:tcW w:w="1276" w:type="dxa"/>
            <w:vAlign w:val="center"/>
          </w:tcPr>
          <w:p>
            <w:pPr>
              <w:spacing w:line="300" w:lineRule="exact"/>
              <w:jc w:val="left"/>
              <w:rPr>
                <w:rFonts w:hint="eastAsia" w:ascii="仿宋" w:hAnsi="仿宋" w:eastAsia="仿宋" w:cs="仿宋"/>
                <w:sz w:val="21"/>
                <w:szCs w:val="21"/>
              </w:rPr>
            </w:pPr>
          </w:p>
        </w:tc>
        <w:tc>
          <w:tcPr>
            <w:tcW w:w="2461"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对广播电视节目传输、覆盖及网络和新媒体内容等的安全播出情况进行管理；对发射台的运行维护管理。</w:t>
            </w:r>
          </w:p>
        </w:tc>
        <w:tc>
          <w:tcPr>
            <w:tcW w:w="199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建立起完备的广播电视安全播出保障体系</w:t>
            </w: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广播设备运维更新率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sz w:val="21"/>
                <w:szCs w:val="21"/>
              </w:rPr>
            </w:pPr>
            <w:r>
              <w:rPr>
                <w:rFonts w:hint="eastAsia" w:ascii="仿宋" w:hAnsi="仿宋" w:eastAsia="仿宋" w:cs="仿宋"/>
                <w:b/>
                <w:sz w:val="21"/>
                <w:szCs w:val="21"/>
              </w:rPr>
              <w:t>　　公共服务工程推广</w:t>
            </w:r>
          </w:p>
        </w:tc>
        <w:tc>
          <w:tcPr>
            <w:tcW w:w="1276" w:type="dxa"/>
            <w:vMerge w:val="restart"/>
            <w:vAlign w:val="center"/>
          </w:tcPr>
          <w:p>
            <w:pPr>
              <w:spacing w:line="300" w:lineRule="exact"/>
              <w:jc w:val="left"/>
              <w:rPr>
                <w:rFonts w:hint="eastAsia" w:ascii="仿宋" w:hAnsi="仿宋" w:eastAsia="仿宋" w:cs="仿宋"/>
                <w:sz w:val="21"/>
                <w:szCs w:val="21"/>
              </w:rPr>
            </w:pPr>
          </w:p>
        </w:tc>
        <w:tc>
          <w:tcPr>
            <w:tcW w:w="2461" w:type="dxa"/>
            <w:vMerge w:val="restart"/>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根据省市下达的任务目标，完成全县广播电视直播卫星户户通工程。</w:t>
            </w:r>
          </w:p>
        </w:tc>
        <w:tc>
          <w:tcPr>
            <w:tcW w:w="1995" w:type="dxa"/>
            <w:vMerge w:val="restart"/>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重大公益工程和公益活动扎实推进</w:t>
            </w: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县城数字影院票房总额年度增长率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≥15%</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≥12%</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≥10%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0"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“村村通”入村率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宣传片及大型活动完成率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“户户通”入户数</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30%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≥20%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≥10%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农家书屋出版物补充、更新及配送量</w:t>
            </w:r>
          </w:p>
        </w:tc>
        <w:tc>
          <w:tcPr>
            <w:tcW w:w="1050" w:type="dxa"/>
            <w:vAlign w:val="center"/>
          </w:tcPr>
          <w:p>
            <w:pPr>
              <w:spacing w:line="300" w:lineRule="exact"/>
              <w:jc w:val="center"/>
              <w:rPr>
                <w:rFonts w:hint="eastAsia" w:ascii="仿宋" w:hAnsi="仿宋" w:eastAsia="仿宋" w:cs="仿宋"/>
                <w:sz w:val="21"/>
                <w:szCs w:val="21"/>
              </w:rPr>
            </w:pPr>
          </w:p>
        </w:tc>
        <w:tc>
          <w:tcPr>
            <w:tcW w:w="1155" w:type="dxa"/>
            <w:vAlign w:val="center"/>
          </w:tcPr>
          <w:p>
            <w:pPr>
              <w:spacing w:line="300" w:lineRule="exact"/>
              <w:jc w:val="center"/>
              <w:rPr>
                <w:rFonts w:hint="eastAsia" w:ascii="仿宋" w:hAnsi="仿宋" w:eastAsia="仿宋" w:cs="仿宋"/>
                <w:sz w:val="21"/>
                <w:szCs w:val="21"/>
              </w:rPr>
            </w:pPr>
          </w:p>
        </w:tc>
        <w:tc>
          <w:tcPr>
            <w:tcW w:w="1155" w:type="dxa"/>
            <w:vAlign w:val="center"/>
          </w:tcPr>
          <w:p>
            <w:pPr>
              <w:spacing w:line="300" w:lineRule="exact"/>
              <w:jc w:val="center"/>
              <w:rPr>
                <w:rFonts w:hint="eastAsia" w:ascii="仿宋" w:hAnsi="仿宋" w:eastAsia="仿宋" w:cs="仿宋"/>
                <w:sz w:val="21"/>
                <w:szCs w:val="21"/>
              </w:rPr>
            </w:pPr>
          </w:p>
        </w:tc>
        <w:tc>
          <w:tcPr>
            <w:tcW w:w="926" w:type="dxa"/>
            <w:vAlign w:val="center"/>
          </w:tcPr>
          <w:p>
            <w:pPr>
              <w:spacing w:line="300" w:lineRule="exact"/>
              <w:jc w:val="center"/>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全年公益电影放映场次完成率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100%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≥95%</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sz w:val="21"/>
                <w:szCs w:val="21"/>
              </w:rPr>
            </w:pPr>
            <w:r>
              <w:rPr>
                <w:rFonts w:hint="eastAsia" w:ascii="仿宋" w:hAnsi="仿宋" w:eastAsia="仿宋" w:cs="仿宋"/>
                <w:b/>
                <w:sz w:val="21"/>
                <w:szCs w:val="21"/>
              </w:rPr>
              <w:t>　　广播影视产业发展</w:t>
            </w:r>
          </w:p>
        </w:tc>
        <w:tc>
          <w:tcPr>
            <w:tcW w:w="1276" w:type="dxa"/>
            <w:vAlign w:val="center"/>
          </w:tcPr>
          <w:p>
            <w:pPr>
              <w:spacing w:line="300" w:lineRule="exact"/>
              <w:jc w:val="left"/>
              <w:rPr>
                <w:rFonts w:hint="eastAsia" w:ascii="仿宋" w:hAnsi="仿宋" w:eastAsia="仿宋" w:cs="仿宋"/>
                <w:sz w:val="21"/>
                <w:szCs w:val="21"/>
              </w:rPr>
            </w:pPr>
          </w:p>
        </w:tc>
        <w:tc>
          <w:tcPr>
            <w:tcW w:w="2461"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推进广播电视IP平台合作，推动IPTV播控平台功能完善工作；发展地面数字电视</w:t>
            </w:r>
          </w:p>
        </w:tc>
        <w:tc>
          <w:tcPr>
            <w:tcW w:w="199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广播影视产业不断发展壮大。</w:t>
            </w: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地面数字电视覆盖率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hint="eastAsia" w:ascii="仿宋" w:hAnsi="仿宋" w:eastAsia="仿宋" w:cs="仿宋"/>
                <w:b/>
                <w:sz w:val="21"/>
                <w:szCs w:val="21"/>
              </w:rPr>
            </w:pPr>
          </w:p>
          <w:p>
            <w:pPr>
              <w:spacing w:line="300" w:lineRule="exact"/>
              <w:jc w:val="left"/>
              <w:rPr>
                <w:rFonts w:hint="eastAsia" w:ascii="仿宋" w:hAnsi="仿宋" w:eastAsia="仿宋" w:cs="仿宋"/>
                <w:b/>
                <w:sz w:val="21"/>
                <w:szCs w:val="21"/>
              </w:rPr>
            </w:pPr>
            <w:r>
              <w:rPr>
                <w:rFonts w:hint="eastAsia" w:ascii="仿宋" w:hAnsi="仿宋" w:eastAsia="仿宋" w:cs="仿宋"/>
                <w:b/>
                <w:sz w:val="21"/>
                <w:szCs w:val="21"/>
              </w:rPr>
              <w:t>政务管理</w:t>
            </w:r>
          </w:p>
        </w:tc>
        <w:tc>
          <w:tcPr>
            <w:tcW w:w="1276" w:type="dxa"/>
            <w:vMerge w:val="restart"/>
            <w:vAlign w:val="center"/>
          </w:tcPr>
          <w:p>
            <w:pPr>
              <w:spacing w:line="300" w:lineRule="exact"/>
              <w:jc w:val="left"/>
              <w:rPr>
                <w:rFonts w:hint="eastAsia" w:ascii="仿宋" w:hAnsi="仿宋" w:eastAsia="仿宋" w:cs="仿宋"/>
                <w:sz w:val="21"/>
                <w:szCs w:val="21"/>
              </w:rPr>
            </w:pPr>
          </w:p>
          <w:p>
            <w:pPr>
              <w:spacing w:line="300" w:lineRule="exact"/>
              <w:jc w:val="left"/>
              <w:rPr>
                <w:rFonts w:hint="eastAsia" w:ascii="仿宋" w:hAnsi="仿宋" w:eastAsia="仿宋" w:cs="仿宋"/>
                <w:sz w:val="21"/>
                <w:szCs w:val="21"/>
              </w:rPr>
            </w:pPr>
          </w:p>
        </w:tc>
        <w:tc>
          <w:tcPr>
            <w:tcW w:w="2461" w:type="dxa"/>
            <w:vMerge w:val="restart"/>
            <w:vAlign w:val="center"/>
          </w:tcPr>
          <w:p>
            <w:pPr>
              <w:spacing w:line="300" w:lineRule="exact"/>
              <w:jc w:val="left"/>
              <w:rPr>
                <w:rFonts w:hint="eastAsia" w:ascii="仿宋" w:hAnsi="仿宋" w:eastAsia="仿宋" w:cs="仿宋"/>
                <w:sz w:val="21"/>
                <w:szCs w:val="21"/>
              </w:rPr>
            </w:pPr>
          </w:p>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负责系统综合业务管理和机关综合事务管理。</w:t>
            </w:r>
          </w:p>
        </w:tc>
        <w:tc>
          <w:tcPr>
            <w:tcW w:w="1995" w:type="dxa"/>
            <w:vMerge w:val="restart"/>
            <w:vAlign w:val="center"/>
          </w:tcPr>
          <w:p>
            <w:pPr>
              <w:spacing w:line="300" w:lineRule="exact"/>
              <w:jc w:val="left"/>
              <w:rPr>
                <w:rFonts w:hint="eastAsia" w:ascii="仿宋" w:hAnsi="仿宋" w:eastAsia="仿宋" w:cs="仿宋"/>
                <w:sz w:val="21"/>
                <w:szCs w:val="21"/>
              </w:rPr>
            </w:pPr>
          </w:p>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拟定广播影视产业发展规划；广播影视节目内容和质量管理</w:t>
            </w: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发展IPTV任务目标完成率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hint="eastAsia" w:ascii="仿宋" w:hAnsi="仿宋" w:eastAsia="仿宋" w:cs="仿宋"/>
                <w:b/>
                <w:sz w:val="21"/>
                <w:szCs w:val="21"/>
              </w:rPr>
            </w:pPr>
          </w:p>
        </w:tc>
        <w:tc>
          <w:tcPr>
            <w:tcW w:w="1276" w:type="dxa"/>
            <w:vMerge w:val="continue"/>
            <w:vAlign w:val="center"/>
          </w:tcPr>
          <w:p>
            <w:pPr>
              <w:spacing w:line="300" w:lineRule="exact"/>
              <w:jc w:val="left"/>
              <w:rPr>
                <w:rFonts w:hint="eastAsia" w:ascii="仿宋" w:hAnsi="仿宋" w:eastAsia="仿宋" w:cs="仿宋"/>
                <w:sz w:val="21"/>
                <w:szCs w:val="21"/>
              </w:rPr>
            </w:pPr>
          </w:p>
        </w:tc>
        <w:tc>
          <w:tcPr>
            <w:tcW w:w="2461" w:type="dxa"/>
            <w:vMerge w:val="continue"/>
            <w:vAlign w:val="center"/>
          </w:tcPr>
          <w:p>
            <w:pPr>
              <w:spacing w:line="300" w:lineRule="exact"/>
              <w:jc w:val="left"/>
              <w:rPr>
                <w:rFonts w:hint="eastAsia" w:ascii="仿宋" w:hAnsi="仿宋" w:eastAsia="仿宋" w:cs="仿宋"/>
                <w:sz w:val="21"/>
                <w:szCs w:val="21"/>
              </w:rPr>
            </w:pPr>
          </w:p>
        </w:tc>
        <w:tc>
          <w:tcPr>
            <w:tcW w:w="1995" w:type="dxa"/>
            <w:vMerge w:val="continue"/>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p>
        </w:tc>
        <w:tc>
          <w:tcPr>
            <w:tcW w:w="1050" w:type="dxa"/>
            <w:vAlign w:val="center"/>
          </w:tcPr>
          <w:p>
            <w:pPr>
              <w:spacing w:line="300" w:lineRule="exact"/>
              <w:jc w:val="center"/>
              <w:rPr>
                <w:rFonts w:hint="eastAsia" w:ascii="仿宋" w:hAnsi="仿宋" w:eastAsia="仿宋" w:cs="仿宋"/>
                <w:sz w:val="21"/>
                <w:szCs w:val="21"/>
              </w:rPr>
            </w:pPr>
          </w:p>
        </w:tc>
        <w:tc>
          <w:tcPr>
            <w:tcW w:w="1155" w:type="dxa"/>
            <w:vAlign w:val="center"/>
          </w:tcPr>
          <w:p>
            <w:pPr>
              <w:spacing w:line="300" w:lineRule="exact"/>
              <w:jc w:val="center"/>
              <w:rPr>
                <w:rFonts w:hint="eastAsia" w:ascii="仿宋" w:hAnsi="仿宋" w:eastAsia="仿宋" w:cs="仿宋"/>
                <w:sz w:val="21"/>
                <w:szCs w:val="21"/>
              </w:rPr>
            </w:pPr>
          </w:p>
        </w:tc>
        <w:tc>
          <w:tcPr>
            <w:tcW w:w="1155" w:type="dxa"/>
            <w:vAlign w:val="center"/>
          </w:tcPr>
          <w:p>
            <w:pPr>
              <w:spacing w:line="300" w:lineRule="exact"/>
              <w:jc w:val="center"/>
              <w:rPr>
                <w:rFonts w:hint="eastAsia" w:ascii="仿宋" w:hAnsi="仿宋" w:eastAsia="仿宋" w:cs="仿宋"/>
                <w:sz w:val="21"/>
                <w:szCs w:val="21"/>
              </w:rPr>
            </w:pPr>
          </w:p>
        </w:tc>
        <w:tc>
          <w:tcPr>
            <w:tcW w:w="926" w:type="dxa"/>
            <w:vAlign w:val="center"/>
          </w:tcPr>
          <w:p>
            <w:pPr>
              <w:spacing w:line="300" w:lineRule="exact"/>
              <w:jc w:val="center"/>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sz w:val="21"/>
                <w:szCs w:val="21"/>
              </w:rPr>
            </w:pPr>
            <w:r>
              <w:rPr>
                <w:rFonts w:hint="eastAsia" w:ascii="仿宋" w:hAnsi="仿宋" w:eastAsia="仿宋" w:cs="仿宋"/>
                <w:b/>
                <w:sz w:val="21"/>
                <w:szCs w:val="21"/>
              </w:rPr>
              <w:t>　　综合业务管理</w:t>
            </w:r>
          </w:p>
        </w:tc>
        <w:tc>
          <w:tcPr>
            <w:tcW w:w="1276" w:type="dxa"/>
            <w:vAlign w:val="center"/>
          </w:tcPr>
          <w:p>
            <w:pPr>
              <w:spacing w:line="300" w:lineRule="exact"/>
              <w:jc w:val="left"/>
              <w:rPr>
                <w:rFonts w:hint="eastAsia" w:ascii="仿宋" w:hAnsi="仿宋" w:eastAsia="仿宋" w:cs="仿宋"/>
                <w:sz w:val="21"/>
                <w:szCs w:val="21"/>
              </w:rPr>
            </w:pPr>
          </w:p>
        </w:tc>
        <w:tc>
          <w:tcPr>
            <w:tcW w:w="2461"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拟定广播影视产业发展规划</w:t>
            </w:r>
          </w:p>
        </w:tc>
        <w:tc>
          <w:tcPr>
            <w:tcW w:w="199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确保各项业务工作谋划到位、顺利开展。</w:t>
            </w: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综合业务管理工作完成率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sz w:val="21"/>
                <w:szCs w:val="21"/>
              </w:rPr>
            </w:pPr>
            <w:r>
              <w:rPr>
                <w:rFonts w:hint="eastAsia" w:ascii="仿宋" w:hAnsi="仿宋" w:eastAsia="仿宋" w:cs="仿宋"/>
                <w:b/>
                <w:sz w:val="21"/>
                <w:szCs w:val="21"/>
              </w:rPr>
              <w:t>　　综合事务管理</w:t>
            </w:r>
          </w:p>
        </w:tc>
        <w:tc>
          <w:tcPr>
            <w:tcW w:w="1276" w:type="dxa"/>
            <w:vAlign w:val="center"/>
          </w:tcPr>
          <w:p>
            <w:pPr>
              <w:spacing w:line="300" w:lineRule="exact"/>
              <w:jc w:val="left"/>
              <w:rPr>
                <w:rFonts w:hint="eastAsia" w:ascii="仿宋" w:hAnsi="仿宋" w:eastAsia="仿宋" w:cs="仿宋"/>
                <w:sz w:val="21"/>
                <w:szCs w:val="21"/>
              </w:rPr>
            </w:pPr>
          </w:p>
        </w:tc>
        <w:tc>
          <w:tcPr>
            <w:tcW w:w="2461"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开展的广播电视研究、培训、后勤保障以及其他各项基础性保障工作。</w:t>
            </w:r>
          </w:p>
        </w:tc>
        <w:tc>
          <w:tcPr>
            <w:tcW w:w="199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保障机关工作正常高效运转。</w:t>
            </w:r>
          </w:p>
        </w:tc>
        <w:tc>
          <w:tcPr>
            <w:tcW w:w="1575" w:type="dxa"/>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综合事务管理工作完成率</w:t>
            </w:r>
          </w:p>
        </w:tc>
        <w:tc>
          <w:tcPr>
            <w:tcW w:w="1050"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90%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≥80%</w:t>
            </w:r>
          </w:p>
        </w:tc>
        <w:tc>
          <w:tcPr>
            <w:tcW w:w="1155"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≥70%</w:t>
            </w:r>
          </w:p>
        </w:tc>
        <w:tc>
          <w:tcPr>
            <w:tcW w:w="926" w:type="dxa"/>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hint="eastAsia" w:ascii="仿宋" w:hAnsi="仿宋" w:eastAsia="仿宋" w:cs="仿宋"/>
                <w:b/>
                <w:sz w:val="21"/>
                <w:szCs w:val="21"/>
              </w:rPr>
            </w:pPr>
          </w:p>
        </w:tc>
        <w:tc>
          <w:tcPr>
            <w:tcW w:w="1276" w:type="dxa"/>
            <w:vAlign w:val="center"/>
          </w:tcPr>
          <w:p>
            <w:pPr>
              <w:spacing w:line="300" w:lineRule="exact"/>
              <w:jc w:val="left"/>
              <w:rPr>
                <w:rFonts w:hint="eastAsia" w:ascii="仿宋" w:hAnsi="仿宋" w:eastAsia="仿宋" w:cs="仿宋"/>
                <w:sz w:val="21"/>
                <w:szCs w:val="21"/>
              </w:rPr>
            </w:pPr>
          </w:p>
        </w:tc>
        <w:tc>
          <w:tcPr>
            <w:tcW w:w="2461" w:type="dxa"/>
            <w:vAlign w:val="center"/>
          </w:tcPr>
          <w:p>
            <w:pPr>
              <w:spacing w:line="300" w:lineRule="exact"/>
              <w:jc w:val="left"/>
              <w:rPr>
                <w:rFonts w:hint="eastAsia" w:ascii="仿宋" w:hAnsi="仿宋" w:eastAsia="仿宋" w:cs="仿宋"/>
                <w:sz w:val="21"/>
                <w:szCs w:val="21"/>
              </w:rPr>
            </w:pPr>
          </w:p>
        </w:tc>
        <w:tc>
          <w:tcPr>
            <w:tcW w:w="1995" w:type="dxa"/>
            <w:vAlign w:val="center"/>
          </w:tcPr>
          <w:p>
            <w:pPr>
              <w:spacing w:line="300" w:lineRule="exact"/>
              <w:jc w:val="left"/>
              <w:rPr>
                <w:rFonts w:hint="eastAsia" w:ascii="仿宋" w:hAnsi="仿宋" w:eastAsia="仿宋" w:cs="仿宋"/>
                <w:sz w:val="21"/>
                <w:szCs w:val="21"/>
              </w:rPr>
            </w:pPr>
          </w:p>
        </w:tc>
        <w:tc>
          <w:tcPr>
            <w:tcW w:w="1575" w:type="dxa"/>
            <w:vAlign w:val="center"/>
          </w:tcPr>
          <w:p>
            <w:pPr>
              <w:spacing w:line="300" w:lineRule="exact"/>
              <w:jc w:val="left"/>
              <w:rPr>
                <w:rFonts w:hint="eastAsia" w:ascii="仿宋" w:hAnsi="仿宋" w:eastAsia="仿宋" w:cs="仿宋"/>
                <w:sz w:val="21"/>
                <w:szCs w:val="21"/>
              </w:rPr>
            </w:pPr>
          </w:p>
        </w:tc>
        <w:tc>
          <w:tcPr>
            <w:tcW w:w="1050" w:type="dxa"/>
            <w:vAlign w:val="center"/>
          </w:tcPr>
          <w:p>
            <w:pPr>
              <w:spacing w:line="300" w:lineRule="exact"/>
              <w:jc w:val="center"/>
              <w:rPr>
                <w:rFonts w:hint="eastAsia" w:ascii="仿宋" w:hAnsi="仿宋" w:eastAsia="仿宋" w:cs="仿宋"/>
                <w:sz w:val="21"/>
                <w:szCs w:val="21"/>
              </w:rPr>
            </w:pPr>
          </w:p>
        </w:tc>
        <w:tc>
          <w:tcPr>
            <w:tcW w:w="1155" w:type="dxa"/>
            <w:vAlign w:val="center"/>
          </w:tcPr>
          <w:p>
            <w:pPr>
              <w:spacing w:line="300" w:lineRule="exact"/>
              <w:jc w:val="center"/>
              <w:rPr>
                <w:rFonts w:hint="eastAsia" w:ascii="仿宋" w:hAnsi="仿宋" w:eastAsia="仿宋" w:cs="仿宋"/>
                <w:sz w:val="21"/>
                <w:szCs w:val="21"/>
              </w:rPr>
            </w:pPr>
          </w:p>
        </w:tc>
        <w:tc>
          <w:tcPr>
            <w:tcW w:w="1155" w:type="dxa"/>
            <w:vAlign w:val="center"/>
          </w:tcPr>
          <w:p>
            <w:pPr>
              <w:spacing w:line="300" w:lineRule="exact"/>
              <w:jc w:val="center"/>
              <w:rPr>
                <w:rFonts w:hint="eastAsia" w:ascii="仿宋" w:hAnsi="仿宋" w:eastAsia="仿宋" w:cs="仿宋"/>
                <w:sz w:val="21"/>
                <w:szCs w:val="21"/>
              </w:rPr>
            </w:pPr>
          </w:p>
        </w:tc>
        <w:tc>
          <w:tcPr>
            <w:tcW w:w="926" w:type="dxa"/>
            <w:vAlign w:val="center"/>
          </w:tcPr>
          <w:p>
            <w:pPr>
              <w:spacing w:line="300" w:lineRule="exact"/>
              <w:jc w:val="center"/>
              <w:rPr>
                <w:rFonts w:hint="eastAsia" w:ascii="仿宋" w:hAnsi="仿宋" w:eastAsia="仿宋" w:cs="仿宋"/>
                <w:sz w:val="21"/>
                <w:szCs w:val="21"/>
              </w:rPr>
            </w:pPr>
          </w:p>
        </w:tc>
      </w:tr>
    </w:tbl>
    <w:p>
      <w:pPr>
        <w:autoSpaceDE w:val="0"/>
        <w:autoSpaceDN w:val="0"/>
        <w:adjustRightInd w:val="0"/>
        <w:ind w:left="200"/>
        <w:jc w:val="left"/>
        <w:rPr>
          <w:rFonts w:ascii="宋体" w:cs="宋体"/>
          <w:kern w:val="0"/>
          <w:sz w:val="18"/>
          <w:szCs w:val="18"/>
          <w:lang w:val="zh-CN"/>
        </w:rPr>
      </w:pPr>
    </w:p>
    <w:p>
      <w:pPr>
        <w:ind w:firstLine="640"/>
        <w:rPr>
          <w:rFonts w:ascii="黑体" w:hAnsi="黑体" w:eastAsia="黑体"/>
        </w:rPr>
      </w:pPr>
      <w:r>
        <w:rPr>
          <w:rFonts w:hint="eastAsia" w:ascii="黑体" w:hAnsi="黑体" w:eastAsia="黑体"/>
        </w:rPr>
        <w:t>六、政府采购预算情况</w:t>
      </w:r>
    </w:p>
    <w:p>
      <w:pPr>
        <w:widowControl/>
        <w:shd w:val="clear" w:color="auto" w:fill="FFFFFF"/>
        <w:spacing w:line="580" w:lineRule="atLeast"/>
        <w:ind w:firstLine="640"/>
        <w:jc w:val="left"/>
        <w:rPr>
          <w:rFonts w:hint="eastAsia"/>
        </w:rPr>
      </w:pPr>
      <w:bookmarkStart w:id="1" w:name="_Toc471398468"/>
      <w:r>
        <w:rPr>
          <w:rFonts w:ascii="宋体" w:hAnsi="宋体"/>
        </w:rPr>
        <w:t xml:space="preserve">  </w:t>
      </w:r>
      <w:bookmarkEnd w:id="1"/>
      <w:r>
        <w:rPr>
          <w:rFonts w:hint="eastAsia"/>
        </w:rPr>
        <w:t>本年度部门预算共计安排政府采购项目为</w:t>
      </w:r>
      <w:r>
        <w:t>2</w:t>
      </w:r>
      <w:r>
        <w:rPr>
          <w:rFonts w:hint="eastAsia"/>
        </w:rPr>
        <w:t>类</w:t>
      </w:r>
      <w:r>
        <w:rPr>
          <w:rFonts w:hint="eastAsia"/>
          <w:lang w:val="en-US" w:eastAsia="zh-CN"/>
        </w:rPr>
        <w:t>2</w:t>
      </w:r>
      <w:r>
        <w:rPr>
          <w:rFonts w:hint="eastAsia"/>
        </w:rPr>
        <w:t>个，涉及金额</w:t>
      </w:r>
      <w:r>
        <w:rPr>
          <w:rFonts w:hint="eastAsia"/>
          <w:lang w:val="en-US" w:eastAsia="zh-CN"/>
        </w:rPr>
        <w:t>600</w:t>
      </w:r>
      <w:r>
        <w:rPr>
          <w:rFonts w:hint="eastAsia"/>
        </w:rPr>
        <w:t>万元，其中：货物类</w:t>
      </w:r>
      <w:r>
        <w:t>1</w:t>
      </w:r>
      <w:r>
        <w:rPr>
          <w:rFonts w:hint="eastAsia"/>
        </w:rPr>
        <w:t>个，涉及金额</w:t>
      </w:r>
      <w:r>
        <w:rPr>
          <w:rFonts w:hint="eastAsia"/>
          <w:lang w:val="en-US" w:eastAsia="zh-CN"/>
        </w:rPr>
        <w:t>297</w:t>
      </w:r>
      <w:r>
        <w:rPr>
          <w:rFonts w:hint="eastAsia"/>
        </w:rPr>
        <w:t>万元，主要包括</w:t>
      </w:r>
      <w:r>
        <w:rPr>
          <w:rFonts w:hint="eastAsia"/>
          <w:lang w:eastAsia="zh-CN"/>
        </w:rPr>
        <w:t>箱式变压器一台、视频通道系统等</w:t>
      </w:r>
      <w:r>
        <w:rPr>
          <w:rFonts w:hint="eastAsia"/>
        </w:rPr>
        <w:t>；工程类</w:t>
      </w:r>
      <w:r>
        <w:t>1</w:t>
      </w:r>
      <w:r>
        <w:rPr>
          <w:rFonts w:hint="eastAsia"/>
        </w:rPr>
        <w:t>个，涉及金额</w:t>
      </w:r>
      <w:r>
        <w:rPr>
          <w:rFonts w:hint="eastAsia"/>
          <w:lang w:val="en-US" w:eastAsia="zh-CN"/>
        </w:rPr>
        <w:t>303</w:t>
      </w:r>
      <w:r>
        <w:rPr>
          <w:rFonts w:hint="eastAsia"/>
        </w:rPr>
        <w:t>万元，主要包括</w:t>
      </w:r>
      <w:r>
        <w:rPr>
          <w:rFonts w:hint="eastAsia"/>
          <w:lang w:eastAsia="zh-CN"/>
        </w:rPr>
        <w:t>融媒体</w:t>
      </w:r>
      <w:r>
        <w:rPr>
          <w:rFonts w:hint="eastAsia"/>
        </w:rPr>
        <w:t>中心</w:t>
      </w:r>
      <w:r>
        <w:rPr>
          <w:rFonts w:hint="eastAsia"/>
          <w:lang w:eastAsia="zh-CN"/>
        </w:rPr>
        <w:t>改造</w:t>
      </w:r>
      <w:r>
        <w:rPr>
          <w:rFonts w:hint="eastAsia"/>
        </w:rPr>
        <w:t>工程；服务类</w:t>
      </w:r>
      <w:r>
        <w:t>0</w:t>
      </w:r>
      <w:r>
        <w:rPr>
          <w:rFonts w:hint="eastAsia"/>
        </w:rPr>
        <w:t>个，涉及金额</w:t>
      </w:r>
      <w:r>
        <w:t>0</w:t>
      </w:r>
      <w:r>
        <w:rPr>
          <w:rFonts w:hint="eastAsia"/>
        </w:rPr>
        <w:t>万元。</w:t>
      </w:r>
    </w:p>
    <w:p>
      <w:pPr>
        <w:jc w:val="center"/>
        <w:outlineLvl w:val="0"/>
        <w:rPr>
          <w:rFonts w:ascii="宋体" w:hAnsi="宋体"/>
          <w:sz w:val="32"/>
          <w:szCs w:val="24"/>
        </w:rPr>
      </w:pPr>
      <w:r>
        <w:rPr>
          <w:rFonts w:hint="eastAsia" w:ascii="宋体" w:hAnsi="宋体"/>
          <w:sz w:val="32"/>
          <w:szCs w:val="24"/>
        </w:rPr>
        <w:t>部门政府采购预算</w:t>
      </w:r>
    </w:p>
    <w:tbl>
      <w:tblPr>
        <w:tblStyle w:val="6"/>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3"/>
        <w:gridCol w:w="1161"/>
        <w:gridCol w:w="1028"/>
        <w:gridCol w:w="1041"/>
        <w:gridCol w:w="802"/>
        <w:gridCol w:w="803"/>
        <w:gridCol w:w="896"/>
        <w:gridCol w:w="887"/>
        <w:gridCol w:w="887"/>
        <w:gridCol w:w="888"/>
        <w:gridCol w:w="888"/>
        <w:gridCol w:w="891"/>
        <w:gridCol w:w="891"/>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1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仿宋" w:hAnsi="仿宋" w:eastAsia="仿宋" w:cs="仿宋"/>
                <w:sz w:val="21"/>
                <w:szCs w:val="21"/>
                <w:lang w:val="en-US" w:eastAsia="zh-CN"/>
              </w:rPr>
            </w:pPr>
            <w:r>
              <w:rPr>
                <w:rFonts w:hint="eastAsia" w:ascii="仿宋" w:hAnsi="仿宋" w:eastAsia="仿宋" w:cs="仿宋"/>
                <w:sz w:val="21"/>
                <w:szCs w:val="21"/>
              </w:rPr>
              <w:t>359县广播电视局</w:t>
            </w:r>
          </w:p>
        </w:tc>
        <w:tc>
          <w:tcPr>
            <w:tcW w:w="618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仿宋" w:hAnsi="仿宋" w:eastAsia="仿宋" w:cs="仿宋"/>
                <w:sz w:val="21"/>
                <w:szCs w:val="21"/>
              </w:rPr>
            </w:pPr>
            <w:r>
              <w:rPr>
                <w:rFonts w:hint="eastAsia" w:ascii="仿宋" w:hAnsi="仿宋" w:eastAsia="仿宋" w:cs="仿宋"/>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744" w:type="dxa"/>
            <w:gridSpan w:val="2"/>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政府采购项目来源</w:t>
            </w:r>
          </w:p>
        </w:tc>
        <w:tc>
          <w:tcPr>
            <w:tcW w:w="1028" w:type="dxa"/>
            <w:vMerge w:val="restart"/>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采购物品名称</w:t>
            </w:r>
          </w:p>
        </w:tc>
        <w:tc>
          <w:tcPr>
            <w:tcW w:w="1041" w:type="dxa"/>
            <w:vMerge w:val="restart"/>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政府采购目录序号</w:t>
            </w:r>
          </w:p>
        </w:tc>
        <w:tc>
          <w:tcPr>
            <w:tcW w:w="802" w:type="dxa"/>
            <w:vMerge w:val="restart"/>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数量  单位</w:t>
            </w:r>
          </w:p>
        </w:tc>
        <w:tc>
          <w:tcPr>
            <w:tcW w:w="803" w:type="dxa"/>
            <w:vMerge w:val="restart"/>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数量</w:t>
            </w:r>
          </w:p>
        </w:tc>
        <w:tc>
          <w:tcPr>
            <w:tcW w:w="896" w:type="dxa"/>
            <w:vMerge w:val="restart"/>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单价</w:t>
            </w:r>
          </w:p>
        </w:tc>
        <w:tc>
          <w:tcPr>
            <w:tcW w:w="6183" w:type="dxa"/>
            <w:gridSpan w:val="7"/>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583" w:type="dxa"/>
            <w:vMerge w:val="restart"/>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项目名称</w:t>
            </w:r>
          </w:p>
        </w:tc>
        <w:tc>
          <w:tcPr>
            <w:tcW w:w="1161" w:type="dxa"/>
            <w:vMerge w:val="restart"/>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预算资金</w:t>
            </w:r>
          </w:p>
        </w:tc>
        <w:tc>
          <w:tcPr>
            <w:tcW w:w="1028"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1041"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802"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803"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896"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887" w:type="dxa"/>
            <w:vMerge w:val="restart"/>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总计</w:t>
            </w:r>
          </w:p>
        </w:tc>
        <w:tc>
          <w:tcPr>
            <w:tcW w:w="4445" w:type="dxa"/>
            <w:gridSpan w:val="5"/>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当年部门预算安排资金</w:t>
            </w:r>
          </w:p>
        </w:tc>
        <w:tc>
          <w:tcPr>
            <w:tcW w:w="851" w:type="dxa"/>
            <w:vMerge w:val="restart"/>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583"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1161"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1028"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1041"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802"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803"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896"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887"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c>
          <w:tcPr>
            <w:tcW w:w="887" w:type="dxa"/>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合计</w:t>
            </w:r>
          </w:p>
        </w:tc>
        <w:tc>
          <w:tcPr>
            <w:tcW w:w="888" w:type="dxa"/>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一般公共预算拨款</w:t>
            </w:r>
          </w:p>
        </w:tc>
        <w:tc>
          <w:tcPr>
            <w:tcW w:w="888" w:type="dxa"/>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基金预算拨款</w:t>
            </w:r>
          </w:p>
        </w:tc>
        <w:tc>
          <w:tcPr>
            <w:tcW w:w="891" w:type="dxa"/>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财政专户核拨</w:t>
            </w:r>
          </w:p>
        </w:tc>
        <w:tc>
          <w:tcPr>
            <w:tcW w:w="891" w:type="dxa"/>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其他来源收入</w:t>
            </w:r>
          </w:p>
        </w:tc>
        <w:tc>
          <w:tcPr>
            <w:tcW w:w="851" w:type="dxa"/>
            <w:vMerge w:val="continue"/>
            <w:shd w:val="clear" w:color="auto" w:fill="auto"/>
            <w:vAlign w:val="center"/>
          </w:tcPr>
          <w:p>
            <w:pPr>
              <w:spacing w:line="300" w:lineRule="exact"/>
              <w:jc w:val="left"/>
              <w:outlineLvl w:val="0"/>
              <w:rPr>
                <w:rFonts w:hint="eastAsia" w:ascii="仿宋" w:hAnsi="仿宋" w:eastAsia="仿宋" w:cs="仿宋"/>
                <w:b/>
                <w:sz w:val="21"/>
                <w:szCs w:val="21"/>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8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合　计</w:t>
            </w:r>
          </w:p>
        </w:tc>
        <w:tc>
          <w:tcPr>
            <w:tcW w:w="1161" w:type="dxa"/>
            <w:shd w:val="clear" w:color="auto" w:fill="auto"/>
            <w:vAlign w:val="center"/>
          </w:tcPr>
          <w:p>
            <w:pPr>
              <w:spacing w:line="300" w:lineRule="exact"/>
              <w:jc w:val="right"/>
              <w:rPr>
                <w:rFonts w:hint="eastAsia" w:ascii="仿宋" w:hAnsi="仿宋" w:eastAsia="仿宋" w:cs="仿宋"/>
                <w:b/>
                <w:sz w:val="21"/>
                <w:szCs w:val="21"/>
              </w:rPr>
            </w:pPr>
          </w:p>
        </w:tc>
        <w:tc>
          <w:tcPr>
            <w:tcW w:w="1028" w:type="dxa"/>
            <w:shd w:val="clear" w:color="auto" w:fill="auto"/>
            <w:vAlign w:val="center"/>
          </w:tcPr>
          <w:p>
            <w:pPr>
              <w:spacing w:line="300" w:lineRule="exact"/>
              <w:jc w:val="left"/>
              <w:rPr>
                <w:rFonts w:hint="eastAsia" w:ascii="仿宋" w:hAnsi="仿宋" w:eastAsia="仿宋" w:cs="仿宋"/>
                <w:b/>
                <w:sz w:val="21"/>
                <w:szCs w:val="21"/>
              </w:rPr>
            </w:pPr>
          </w:p>
        </w:tc>
        <w:tc>
          <w:tcPr>
            <w:tcW w:w="1041" w:type="dxa"/>
            <w:shd w:val="clear" w:color="auto" w:fill="auto"/>
            <w:vAlign w:val="center"/>
          </w:tcPr>
          <w:p>
            <w:pPr>
              <w:spacing w:line="300" w:lineRule="exact"/>
              <w:jc w:val="left"/>
              <w:rPr>
                <w:rFonts w:hint="eastAsia" w:ascii="仿宋" w:hAnsi="仿宋" w:eastAsia="仿宋" w:cs="仿宋"/>
                <w:b/>
                <w:sz w:val="21"/>
                <w:szCs w:val="21"/>
              </w:rPr>
            </w:pPr>
          </w:p>
        </w:tc>
        <w:tc>
          <w:tcPr>
            <w:tcW w:w="802" w:type="dxa"/>
            <w:shd w:val="clear" w:color="auto" w:fill="auto"/>
            <w:vAlign w:val="center"/>
          </w:tcPr>
          <w:p>
            <w:pPr>
              <w:spacing w:line="300" w:lineRule="exact"/>
              <w:jc w:val="left"/>
              <w:rPr>
                <w:rFonts w:hint="eastAsia" w:ascii="仿宋" w:hAnsi="仿宋" w:eastAsia="仿宋" w:cs="仿宋"/>
                <w:b/>
                <w:sz w:val="21"/>
                <w:szCs w:val="21"/>
              </w:rPr>
            </w:pPr>
          </w:p>
        </w:tc>
        <w:tc>
          <w:tcPr>
            <w:tcW w:w="803" w:type="dxa"/>
            <w:shd w:val="clear" w:color="auto" w:fill="auto"/>
            <w:vAlign w:val="center"/>
          </w:tcPr>
          <w:p>
            <w:pPr>
              <w:spacing w:line="300" w:lineRule="exact"/>
              <w:jc w:val="right"/>
              <w:rPr>
                <w:rFonts w:hint="eastAsia" w:ascii="仿宋" w:hAnsi="仿宋" w:eastAsia="仿宋" w:cs="仿宋"/>
                <w:b/>
                <w:sz w:val="21"/>
                <w:szCs w:val="21"/>
              </w:rPr>
            </w:pPr>
          </w:p>
        </w:tc>
        <w:tc>
          <w:tcPr>
            <w:tcW w:w="896" w:type="dxa"/>
            <w:shd w:val="clear" w:color="auto" w:fill="auto"/>
            <w:vAlign w:val="center"/>
          </w:tcPr>
          <w:p>
            <w:pPr>
              <w:spacing w:line="300" w:lineRule="exact"/>
              <w:jc w:val="right"/>
              <w:rPr>
                <w:rFonts w:hint="eastAsia" w:ascii="仿宋" w:hAnsi="仿宋" w:eastAsia="仿宋" w:cs="仿宋"/>
                <w:b/>
                <w:sz w:val="21"/>
                <w:szCs w:val="21"/>
              </w:rPr>
            </w:pPr>
          </w:p>
        </w:tc>
        <w:tc>
          <w:tcPr>
            <w:tcW w:w="887" w:type="dxa"/>
            <w:shd w:val="clear" w:color="auto" w:fill="auto"/>
            <w:vAlign w:val="center"/>
          </w:tcPr>
          <w:p>
            <w:pPr>
              <w:spacing w:line="300" w:lineRule="exact"/>
              <w:jc w:val="right"/>
              <w:rPr>
                <w:rFonts w:hint="eastAsia" w:ascii="仿宋" w:hAnsi="仿宋" w:eastAsia="仿宋" w:cs="仿宋"/>
                <w:b/>
                <w:sz w:val="21"/>
                <w:szCs w:val="21"/>
                <w:lang w:val="en-US" w:eastAsia="zh-CN"/>
              </w:rPr>
            </w:pPr>
            <w:r>
              <w:rPr>
                <w:rFonts w:hint="eastAsia" w:ascii="仿宋" w:hAnsi="仿宋" w:eastAsia="仿宋" w:cs="仿宋"/>
                <w:b/>
                <w:sz w:val="21"/>
                <w:szCs w:val="21"/>
              </w:rPr>
              <w:t>600.00</w:t>
            </w:r>
          </w:p>
        </w:tc>
        <w:tc>
          <w:tcPr>
            <w:tcW w:w="887" w:type="dxa"/>
            <w:shd w:val="clear" w:color="auto" w:fill="auto"/>
            <w:vAlign w:val="center"/>
          </w:tcPr>
          <w:p>
            <w:pPr>
              <w:spacing w:line="300" w:lineRule="exact"/>
              <w:jc w:val="right"/>
              <w:rPr>
                <w:rFonts w:hint="eastAsia" w:ascii="仿宋" w:hAnsi="仿宋" w:eastAsia="仿宋" w:cs="仿宋"/>
                <w:b/>
                <w:sz w:val="21"/>
                <w:szCs w:val="21"/>
              </w:rPr>
            </w:pPr>
            <w:r>
              <w:rPr>
                <w:rFonts w:hint="eastAsia" w:ascii="仿宋" w:hAnsi="仿宋" w:eastAsia="仿宋" w:cs="仿宋"/>
                <w:b/>
                <w:sz w:val="21"/>
                <w:szCs w:val="21"/>
              </w:rPr>
              <w:t>600.00</w:t>
            </w:r>
          </w:p>
        </w:tc>
        <w:tc>
          <w:tcPr>
            <w:tcW w:w="888" w:type="dxa"/>
            <w:shd w:val="clear" w:color="auto" w:fill="auto"/>
            <w:vAlign w:val="center"/>
          </w:tcPr>
          <w:p>
            <w:pPr>
              <w:spacing w:line="300" w:lineRule="exact"/>
              <w:jc w:val="right"/>
              <w:rPr>
                <w:rFonts w:hint="eastAsia" w:ascii="仿宋" w:hAnsi="仿宋" w:eastAsia="仿宋" w:cs="仿宋"/>
                <w:b/>
                <w:sz w:val="21"/>
                <w:szCs w:val="21"/>
              </w:rPr>
            </w:pPr>
            <w:r>
              <w:rPr>
                <w:rFonts w:hint="eastAsia" w:ascii="仿宋" w:hAnsi="仿宋" w:eastAsia="仿宋" w:cs="仿宋"/>
                <w:b/>
                <w:sz w:val="21"/>
                <w:szCs w:val="21"/>
              </w:rPr>
              <w:t>600.00</w:t>
            </w:r>
          </w:p>
        </w:tc>
        <w:tc>
          <w:tcPr>
            <w:tcW w:w="888" w:type="dxa"/>
            <w:shd w:val="clear" w:color="auto" w:fill="auto"/>
            <w:vAlign w:val="center"/>
          </w:tcPr>
          <w:p>
            <w:pPr>
              <w:spacing w:line="300" w:lineRule="exact"/>
              <w:jc w:val="right"/>
              <w:rPr>
                <w:rFonts w:hint="eastAsia" w:ascii="仿宋" w:hAnsi="仿宋" w:eastAsia="仿宋" w:cs="仿宋"/>
                <w:b/>
                <w:sz w:val="21"/>
                <w:szCs w:val="21"/>
              </w:rPr>
            </w:pPr>
          </w:p>
        </w:tc>
        <w:tc>
          <w:tcPr>
            <w:tcW w:w="891" w:type="dxa"/>
            <w:shd w:val="clear" w:color="auto" w:fill="auto"/>
            <w:vAlign w:val="center"/>
          </w:tcPr>
          <w:p>
            <w:pPr>
              <w:spacing w:line="300" w:lineRule="exact"/>
              <w:jc w:val="right"/>
              <w:rPr>
                <w:rFonts w:hint="eastAsia" w:ascii="仿宋" w:hAnsi="仿宋" w:eastAsia="仿宋" w:cs="仿宋"/>
                <w:b/>
                <w:sz w:val="21"/>
                <w:szCs w:val="21"/>
              </w:rPr>
            </w:pPr>
          </w:p>
        </w:tc>
        <w:tc>
          <w:tcPr>
            <w:tcW w:w="891" w:type="dxa"/>
            <w:shd w:val="clear" w:color="auto" w:fill="auto"/>
            <w:vAlign w:val="center"/>
          </w:tcPr>
          <w:p>
            <w:pPr>
              <w:spacing w:line="300" w:lineRule="exact"/>
              <w:jc w:val="right"/>
              <w:rPr>
                <w:rFonts w:hint="eastAsia" w:ascii="仿宋" w:hAnsi="仿宋" w:eastAsia="仿宋" w:cs="仿宋"/>
                <w:b/>
                <w:sz w:val="21"/>
                <w:szCs w:val="21"/>
              </w:rPr>
            </w:pPr>
          </w:p>
        </w:tc>
        <w:tc>
          <w:tcPr>
            <w:tcW w:w="851" w:type="dxa"/>
            <w:shd w:val="clear" w:color="auto" w:fill="auto"/>
            <w:vAlign w:val="center"/>
          </w:tcPr>
          <w:p>
            <w:pPr>
              <w:spacing w:line="300" w:lineRule="exact"/>
              <w:jc w:val="right"/>
              <w:rPr>
                <w:rFonts w:hint="eastAsia" w:ascii="仿宋" w:hAnsi="仿宋" w:eastAsia="仿宋" w:cs="仿宋"/>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83" w:type="dxa"/>
            <w:shd w:val="clear" w:color="auto" w:fill="auto"/>
            <w:vAlign w:val="center"/>
          </w:tcPr>
          <w:p>
            <w:pPr>
              <w:spacing w:line="30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香河县广播电视台小计</w:t>
            </w:r>
          </w:p>
        </w:tc>
        <w:tc>
          <w:tcPr>
            <w:tcW w:w="1161" w:type="dxa"/>
            <w:shd w:val="clear" w:color="auto" w:fill="auto"/>
            <w:vAlign w:val="center"/>
          </w:tcPr>
          <w:p>
            <w:pPr>
              <w:spacing w:line="300" w:lineRule="exact"/>
              <w:jc w:val="right"/>
              <w:rPr>
                <w:rFonts w:hint="eastAsia" w:ascii="仿宋" w:hAnsi="仿宋" w:eastAsia="仿宋" w:cs="仿宋"/>
                <w:b/>
                <w:sz w:val="21"/>
                <w:szCs w:val="21"/>
              </w:rPr>
            </w:pPr>
          </w:p>
        </w:tc>
        <w:tc>
          <w:tcPr>
            <w:tcW w:w="1028" w:type="dxa"/>
            <w:shd w:val="clear" w:color="auto" w:fill="auto"/>
            <w:vAlign w:val="center"/>
          </w:tcPr>
          <w:p>
            <w:pPr>
              <w:spacing w:line="300" w:lineRule="exact"/>
              <w:jc w:val="left"/>
              <w:rPr>
                <w:rFonts w:hint="eastAsia" w:ascii="仿宋" w:hAnsi="仿宋" w:eastAsia="仿宋" w:cs="仿宋"/>
                <w:b/>
                <w:sz w:val="21"/>
                <w:szCs w:val="21"/>
              </w:rPr>
            </w:pPr>
          </w:p>
        </w:tc>
        <w:tc>
          <w:tcPr>
            <w:tcW w:w="1041" w:type="dxa"/>
            <w:shd w:val="clear" w:color="auto" w:fill="auto"/>
            <w:vAlign w:val="center"/>
          </w:tcPr>
          <w:p>
            <w:pPr>
              <w:spacing w:line="300" w:lineRule="exact"/>
              <w:jc w:val="left"/>
              <w:rPr>
                <w:rFonts w:hint="eastAsia" w:ascii="仿宋" w:hAnsi="仿宋" w:eastAsia="仿宋" w:cs="仿宋"/>
                <w:b/>
                <w:sz w:val="21"/>
                <w:szCs w:val="21"/>
              </w:rPr>
            </w:pPr>
          </w:p>
        </w:tc>
        <w:tc>
          <w:tcPr>
            <w:tcW w:w="802" w:type="dxa"/>
            <w:shd w:val="clear" w:color="auto" w:fill="auto"/>
            <w:vAlign w:val="center"/>
          </w:tcPr>
          <w:p>
            <w:pPr>
              <w:spacing w:line="300" w:lineRule="exact"/>
              <w:jc w:val="left"/>
              <w:rPr>
                <w:rFonts w:hint="eastAsia" w:ascii="仿宋" w:hAnsi="仿宋" w:eastAsia="仿宋" w:cs="仿宋"/>
                <w:b/>
                <w:sz w:val="21"/>
                <w:szCs w:val="21"/>
              </w:rPr>
            </w:pPr>
          </w:p>
        </w:tc>
        <w:tc>
          <w:tcPr>
            <w:tcW w:w="803" w:type="dxa"/>
            <w:shd w:val="clear" w:color="auto" w:fill="auto"/>
            <w:vAlign w:val="center"/>
          </w:tcPr>
          <w:p>
            <w:pPr>
              <w:spacing w:line="300" w:lineRule="exact"/>
              <w:jc w:val="right"/>
              <w:rPr>
                <w:rFonts w:hint="eastAsia" w:ascii="仿宋" w:hAnsi="仿宋" w:eastAsia="仿宋" w:cs="仿宋"/>
                <w:b/>
                <w:sz w:val="21"/>
                <w:szCs w:val="21"/>
              </w:rPr>
            </w:pPr>
          </w:p>
        </w:tc>
        <w:tc>
          <w:tcPr>
            <w:tcW w:w="896" w:type="dxa"/>
            <w:shd w:val="clear" w:color="auto" w:fill="auto"/>
            <w:vAlign w:val="center"/>
          </w:tcPr>
          <w:p>
            <w:pPr>
              <w:spacing w:line="300" w:lineRule="exact"/>
              <w:jc w:val="right"/>
              <w:rPr>
                <w:rFonts w:hint="eastAsia" w:ascii="仿宋" w:hAnsi="仿宋" w:eastAsia="仿宋" w:cs="仿宋"/>
                <w:b/>
                <w:sz w:val="21"/>
                <w:szCs w:val="21"/>
              </w:rPr>
            </w:pPr>
          </w:p>
        </w:tc>
        <w:tc>
          <w:tcPr>
            <w:tcW w:w="887" w:type="dxa"/>
            <w:shd w:val="clear" w:color="auto" w:fill="auto"/>
            <w:vAlign w:val="center"/>
          </w:tcPr>
          <w:p>
            <w:pPr>
              <w:spacing w:line="300" w:lineRule="exact"/>
              <w:jc w:val="right"/>
              <w:rPr>
                <w:rFonts w:hint="eastAsia" w:ascii="仿宋" w:hAnsi="仿宋" w:eastAsia="仿宋" w:cs="仿宋"/>
                <w:b/>
                <w:sz w:val="21"/>
                <w:szCs w:val="21"/>
                <w:lang w:val="en-US" w:eastAsia="zh-CN"/>
              </w:rPr>
            </w:pPr>
            <w:r>
              <w:rPr>
                <w:rFonts w:hint="eastAsia" w:ascii="仿宋" w:hAnsi="仿宋" w:eastAsia="仿宋" w:cs="仿宋"/>
                <w:b/>
                <w:sz w:val="21"/>
                <w:szCs w:val="21"/>
              </w:rPr>
              <w:t>600.00</w:t>
            </w:r>
          </w:p>
        </w:tc>
        <w:tc>
          <w:tcPr>
            <w:tcW w:w="887" w:type="dxa"/>
            <w:shd w:val="clear" w:color="auto" w:fill="auto"/>
            <w:vAlign w:val="center"/>
          </w:tcPr>
          <w:p>
            <w:pPr>
              <w:spacing w:line="300" w:lineRule="exact"/>
              <w:jc w:val="right"/>
              <w:rPr>
                <w:rFonts w:hint="eastAsia" w:ascii="仿宋" w:hAnsi="仿宋" w:eastAsia="仿宋" w:cs="仿宋"/>
                <w:b/>
                <w:sz w:val="21"/>
                <w:szCs w:val="21"/>
              </w:rPr>
            </w:pPr>
            <w:r>
              <w:rPr>
                <w:rFonts w:hint="eastAsia" w:ascii="仿宋" w:hAnsi="仿宋" w:eastAsia="仿宋" w:cs="仿宋"/>
                <w:b/>
                <w:sz w:val="21"/>
                <w:szCs w:val="21"/>
              </w:rPr>
              <w:t>600.00</w:t>
            </w:r>
          </w:p>
        </w:tc>
        <w:tc>
          <w:tcPr>
            <w:tcW w:w="888" w:type="dxa"/>
            <w:shd w:val="clear" w:color="auto" w:fill="auto"/>
            <w:vAlign w:val="center"/>
          </w:tcPr>
          <w:p>
            <w:pPr>
              <w:spacing w:line="300" w:lineRule="exact"/>
              <w:jc w:val="right"/>
              <w:rPr>
                <w:rFonts w:hint="eastAsia" w:ascii="仿宋" w:hAnsi="仿宋" w:eastAsia="仿宋" w:cs="仿宋"/>
                <w:b/>
                <w:sz w:val="21"/>
                <w:szCs w:val="21"/>
              </w:rPr>
            </w:pPr>
            <w:r>
              <w:rPr>
                <w:rFonts w:hint="eastAsia" w:ascii="仿宋" w:hAnsi="仿宋" w:eastAsia="仿宋" w:cs="仿宋"/>
                <w:b/>
                <w:sz w:val="21"/>
                <w:szCs w:val="21"/>
              </w:rPr>
              <w:t>600.00</w:t>
            </w:r>
          </w:p>
        </w:tc>
        <w:tc>
          <w:tcPr>
            <w:tcW w:w="888" w:type="dxa"/>
            <w:shd w:val="clear" w:color="auto" w:fill="auto"/>
            <w:vAlign w:val="center"/>
          </w:tcPr>
          <w:p>
            <w:pPr>
              <w:spacing w:line="300" w:lineRule="exact"/>
              <w:jc w:val="right"/>
              <w:rPr>
                <w:rFonts w:hint="eastAsia" w:ascii="仿宋" w:hAnsi="仿宋" w:eastAsia="仿宋" w:cs="仿宋"/>
                <w:b/>
                <w:sz w:val="21"/>
                <w:szCs w:val="21"/>
              </w:rPr>
            </w:pPr>
          </w:p>
        </w:tc>
        <w:tc>
          <w:tcPr>
            <w:tcW w:w="891" w:type="dxa"/>
            <w:shd w:val="clear" w:color="auto" w:fill="auto"/>
            <w:vAlign w:val="center"/>
          </w:tcPr>
          <w:p>
            <w:pPr>
              <w:spacing w:line="300" w:lineRule="exact"/>
              <w:jc w:val="right"/>
              <w:rPr>
                <w:rFonts w:hint="eastAsia" w:ascii="仿宋" w:hAnsi="仿宋" w:eastAsia="仿宋" w:cs="仿宋"/>
                <w:b/>
                <w:sz w:val="21"/>
                <w:szCs w:val="21"/>
              </w:rPr>
            </w:pPr>
          </w:p>
        </w:tc>
        <w:tc>
          <w:tcPr>
            <w:tcW w:w="891" w:type="dxa"/>
            <w:shd w:val="clear" w:color="auto" w:fill="auto"/>
            <w:vAlign w:val="center"/>
          </w:tcPr>
          <w:p>
            <w:pPr>
              <w:spacing w:line="300" w:lineRule="exact"/>
              <w:jc w:val="right"/>
              <w:rPr>
                <w:rFonts w:hint="eastAsia" w:ascii="仿宋" w:hAnsi="仿宋" w:eastAsia="仿宋" w:cs="仿宋"/>
                <w:b/>
                <w:sz w:val="21"/>
                <w:szCs w:val="21"/>
              </w:rPr>
            </w:pPr>
          </w:p>
        </w:tc>
        <w:tc>
          <w:tcPr>
            <w:tcW w:w="851" w:type="dxa"/>
            <w:shd w:val="clear" w:color="auto" w:fill="auto"/>
            <w:vAlign w:val="center"/>
          </w:tcPr>
          <w:p>
            <w:pPr>
              <w:spacing w:line="300" w:lineRule="exact"/>
              <w:jc w:val="right"/>
              <w:rPr>
                <w:rFonts w:hint="eastAsia" w:ascii="仿宋" w:hAnsi="仿宋" w:eastAsia="仿宋" w:cs="仿宋"/>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83" w:type="dxa"/>
            <w:shd w:val="clear" w:color="auto" w:fill="auto"/>
            <w:vAlign w:val="center"/>
          </w:tcPr>
          <w:p>
            <w:pPr>
              <w:spacing w:line="300" w:lineRule="exact"/>
              <w:jc w:val="left"/>
              <w:rPr>
                <w:rFonts w:hint="eastAsia" w:ascii="仿宋" w:hAnsi="仿宋" w:eastAsia="仿宋" w:cs="仿宋"/>
                <w:sz w:val="21"/>
                <w:szCs w:val="21"/>
                <w:lang w:eastAsia="zh-CN"/>
              </w:rPr>
            </w:pPr>
            <w:r>
              <w:rPr>
                <w:rFonts w:hint="eastAsia" w:ascii="仿宋" w:hAnsi="仿宋" w:eastAsia="仿宋" w:cs="仿宋"/>
                <w:sz w:val="21"/>
                <w:szCs w:val="21"/>
              </w:rPr>
              <w:t>融媒体中心建设资金（含《新香河》经费、变压器安装资金）</w:t>
            </w:r>
          </w:p>
        </w:tc>
        <w:tc>
          <w:tcPr>
            <w:tcW w:w="1161"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600.00</w:t>
            </w:r>
          </w:p>
        </w:tc>
        <w:tc>
          <w:tcPr>
            <w:tcW w:w="1028" w:type="dxa"/>
            <w:shd w:val="clear" w:color="auto" w:fill="auto"/>
            <w:vAlign w:val="center"/>
          </w:tcPr>
          <w:p>
            <w:pPr>
              <w:spacing w:line="300" w:lineRule="exact"/>
              <w:jc w:val="left"/>
              <w:rPr>
                <w:rFonts w:hint="eastAsia" w:ascii="仿宋" w:hAnsi="仿宋" w:eastAsia="仿宋" w:cs="仿宋"/>
                <w:sz w:val="21"/>
                <w:szCs w:val="21"/>
                <w:lang w:eastAsia="zh-CN"/>
              </w:rPr>
            </w:pPr>
            <w:r>
              <w:rPr>
                <w:rFonts w:hint="eastAsia" w:ascii="仿宋" w:hAnsi="仿宋" w:eastAsia="仿宋" w:cs="仿宋"/>
                <w:sz w:val="21"/>
                <w:szCs w:val="21"/>
              </w:rPr>
              <w:t>事业单位用房施工</w:t>
            </w:r>
          </w:p>
        </w:tc>
        <w:tc>
          <w:tcPr>
            <w:tcW w:w="1041" w:type="dxa"/>
            <w:shd w:val="clear" w:color="auto" w:fill="auto"/>
            <w:vAlign w:val="center"/>
          </w:tcPr>
          <w:p>
            <w:pPr>
              <w:spacing w:line="300" w:lineRule="exact"/>
              <w:jc w:val="left"/>
              <w:rPr>
                <w:rFonts w:hint="eastAsia" w:ascii="仿宋" w:hAnsi="仿宋" w:eastAsia="仿宋" w:cs="仿宋"/>
                <w:sz w:val="21"/>
                <w:szCs w:val="21"/>
                <w:lang w:val="en-US" w:eastAsia="zh-CN"/>
              </w:rPr>
            </w:pPr>
            <w:r>
              <w:rPr>
                <w:rFonts w:hint="eastAsia" w:ascii="仿宋" w:hAnsi="仿宋" w:eastAsia="仿宋" w:cs="仿宋"/>
                <w:sz w:val="21"/>
                <w:szCs w:val="21"/>
              </w:rPr>
              <w:t>B0106</w:t>
            </w:r>
          </w:p>
        </w:tc>
        <w:tc>
          <w:tcPr>
            <w:tcW w:w="802" w:type="dxa"/>
            <w:shd w:val="clear" w:color="auto" w:fill="auto"/>
            <w:vAlign w:val="center"/>
          </w:tcPr>
          <w:p>
            <w:pPr>
              <w:spacing w:line="300" w:lineRule="exact"/>
              <w:jc w:val="left"/>
              <w:rPr>
                <w:rFonts w:hint="eastAsia" w:ascii="仿宋" w:hAnsi="仿宋" w:eastAsia="仿宋" w:cs="仿宋"/>
                <w:sz w:val="21"/>
                <w:szCs w:val="21"/>
                <w:lang w:eastAsia="zh-CN"/>
              </w:rPr>
            </w:pPr>
            <w:r>
              <w:rPr>
                <w:rFonts w:hint="eastAsia" w:ascii="仿宋" w:hAnsi="仿宋" w:eastAsia="仿宋" w:cs="仿宋"/>
                <w:sz w:val="21"/>
                <w:szCs w:val="21"/>
              </w:rPr>
              <w:t>项</w:t>
            </w:r>
          </w:p>
        </w:tc>
        <w:tc>
          <w:tcPr>
            <w:tcW w:w="803"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1.00</w:t>
            </w:r>
          </w:p>
        </w:tc>
        <w:tc>
          <w:tcPr>
            <w:tcW w:w="896"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303.00</w:t>
            </w:r>
          </w:p>
        </w:tc>
        <w:tc>
          <w:tcPr>
            <w:tcW w:w="887"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303.00</w:t>
            </w:r>
          </w:p>
        </w:tc>
        <w:tc>
          <w:tcPr>
            <w:tcW w:w="887"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303.00</w:t>
            </w:r>
          </w:p>
        </w:tc>
        <w:tc>
          <w:tcPr>
            <w:tcW w:w="888"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303.00</w:t>
            </w:r>
          </w:p>
        </w:tc>
        <w:tc>
          <w:tcPr>
            <w:tcW w:w="888" w:type="dxa"/>
            <w:shd w:val="clear" w:color="auto" w:fill="auto"/>
            <w:vAlign w:val="center"/>
          </w:tcPr>
          <w:p>
            <w:pPr>
              <w:spacing w:line="300" w:lineRule="exact"/>
              <w:jc w:val="right"/>
              <w:rPr>
                <w:rFonts w:hint="eastAsia" w:ascii="仿宋" w:hAnsi="仿宋" w:eastAsia="仿宋" w:cs="仿宋"/>
                <w:sz w:val="21"/>
                <w:szCs w:val="21"/>
              </w:rPr>
            </w:pPr>
          </w:p>
        </w:tc>
        <w:tc>
          <w:tcPr>
            <w:tcW w:w="891" w:type="dxa"/>
            <w:shd w:val="clear" w:color="auto" w:fill="auto"/>
            <w:vAlign w:val="center"/>
          </w:tcPr>
          <w:p>
            <w:pPr>
              <w:spacing w:line="300" w:lineRule="exact"/>
              <w:jc w:val="right"/>
              <w:rPr>
                <w:rFonts w:hint="eastAsia" w:ascii="仿宋" w:hAnsi="仿宋" w:eastAsia="仿宋" w:cs="仿宋"/>
                <w:sz w:val="21"/>
                <w:szCs w:val="21"/>
              </w:rPr>
            </w:pPr>
          </w:p>
        </w:tc>
        <w:tc>
          <w:tcPr>
            <w:tcW w:w="891" w:type="dxa"/>
            <w:shd w:val="clear" w:color="auto" w:fill="auto"/>
            <w:vAlign w:val="center"/>
          </w:tcPr>
          <w:p>
            <w:pPr>
              <w:spacing w:line="300" w:lineRule="exact"/>
              <w:jc w:val="right"/>
              <w:rPr>
                <w:rFonts w:hint="eastAsia" w:ascii="仿宋" w:hAnsi="仿宋" w:eastAsia="仿宋" w:cs="仿宋"/>
                <w:sz w:val="21"/>
                <w:szCs w:val="21"/>
              </w:rPr>
            </w:pPr>
          </w:p>
        </w:tc>
        <w:tc>
          <w:tcPr>
            <w:tcW w:w="851" w:type="dxa"/>
            <w:shd w:val="clear" w:color="auto" w:fill="auto"/>
            <w:vAlign w:val="center"/>
          </w:tcPr>
          <w:p>
            <w:pPr>
              <w:spacing w:line="300" w:lineRule="exact"/>
              <w:jc w:val="right"/>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83" w:type="dxa"/>
            <w:shd w:val="clear" w:color="auto" w:fill="auto"/>
            <w:vAlign w:val="center"/>
          </w:tcPr>
          <w:p>
            <w:pPr>
              <w:spacing w:line="300" w:lineRule="exact"/>
              <w:jc w:val="left"/>
              <w:rPr>
                <w:rFonts w:hint="eastAsia" w:ascii="仿宋" w:hAnsi="仿宋" w:eastAsia="仿宋" w:cs="仿宋"/>
                <w:sz w:val="21"/>
                <w:szCs w:val="21"/>
                <w:lang w:eastAsia="zh-CN"/>
              </w:rPr>
            </w:pPr>
            <w:r>
              <w:rPr>
                <w:rFonts w:hint="eastAsia" w:ascii="仿宋" w:hAnsi="仿宋" w:eastAsia="仿宋" w:cs="仿宋"/>
                <w:sz w:val="21"/>
                <w:szCs w:val="21"/>
              </w:rPr>
              <w:t>融媒体中心建设资金（含《新香河》经费、变压器安装资金）</w:t>
            </w:r>
          </w:p>
        </w:tc>
        <w:tc>
          <w:tcPr>
            <w:tcW w:w="1161"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600.00</w:t>
            </w:r>
          </w:p>
        </w:tc>
        <w:tc>
          <w:tcPr>
            <w:tcW w:w="1028" w:type="dxa"/>
            <w:shd w:val="clear" w:color="auto" w:fill="auto"/>
            <w:vAlign w:val="center"/>
          </w:tcPr>
          <w:p>
            <w:pPr>
              <w:spacing w:line="300" w:lineRule="exact"/>
              <w:jc w:val="left"/>
              <w:rPr>
                <w:rFonts w:hint="eastAsia" w:ascii="仿宋" w:hAnsi="仿宋" w:eastAsia="仿宋" w:cs="仿宋"/>
                <w:sz w:val="21"/>
                <w:szCs w:val="21"/>
                <w:lang w:eastAsia="zh-CN"/>
              </w:rPr>
            </w:pPr>
            <w:r>
              <w:rPr>
                <w:rFonts w:hint="eastAsia" w:ascii="仿宋" w:hAnsi="仿宋" w:eastAsia="仿宋" w:cs="仿宋"/>
                <w:sz w:val="21"/>
                <w:szCs w:val="21"/>
              </w:rPr>
              <w:t>广播、电视、电影设备</w:t>
            </w:r>
          </w:p>
        </w:tc>
        <w:tc>
          <w:tcPr>
            <w:tcW w:w="1041" w:type="dxa"/>
            <w:shd w:val="clear" w:color="auto" w:fill="auto"/>
            <w:vAlign w:val="center"/>
          </w:tcPr>
          <w:p>
            <w:pPr>
              <w:spacing w:line="300" w:lineRule="exact"/>
              <w:jc w:val="left"/>
              <w:rPr>
                <w:rFonts w:hint="eastAsia" w:ascii="仿宋" w:hAnsi="仿宋" w:eastAsia="仿宋" w:cs="仿宋"/>
                <w:sz w:val="21"/>
                <w:szCs w:val="21"/>
                <w:lang w:val="en-US" w:eastAsia="zh-CN"/>
              </w:rPr>
            </w:pPr>
            <w:r>
              <w:rPr>
                <w:rFonts w:hint="eastAsia" w:ascii="仿宋" w:hAnsi="仿宋" w:eastAsia="仿宋" w:cs="仿宋"/>
                <w:sz w:val="21"/>
                <w:szCs w:val="21"/>
              </w:rPr>
              <w:t>A0209</w:t>
            </w:r>
          </w:p>
        </w:tc>
        <w:tc>
          <w:tcPr>
            <w:tcW w:w="8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批</w:t>
            </w:r>
          </w:p>
        </w:tc>
        <w:tc>
          <w:tcPr>
            <w:tcW w:w="803"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1.00</w:t>
            </w:r>
          </w:p>
        </w:tc>
        <w:tc>
          <w:tcPr>
            <w:tcW w:w="896"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297.00</w:t>
            </w:r>
          </w:p>
        </w:tc>
        <w:tc>
          <w:tcPr>
            <w:tcW w:w="887"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297.00</w:t>
            </w:r>
          </w:p>
        </w:tc>
        <w:tc>
          <w:tcPr>
            <w:tcW w:w="887"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297.00</w:t>
            </w:r>
          </w:p>
        </w:tc>
        <w:tc>
          <w:tcPr>
            <w:tcW w:w="888" w:type="dxa"/>
            <w:shd w:val="clear" w:color="auto" w:fill="auto"/>
            <w:vAlign w:val="center"/>
          </w:tcPr>
          <w:p>
            <w:pPr>
              <w:spacing w:line="300" w:lineRule="exact"/>
              <w:jc w:val="right"/>
              <w:rPr>
                <w:rFonts w:hint="eastAsia" w:ascii="仿宋" w:hAnsi="仿宋" w:eastAsia="仿宋" w:cs="仿宋"/>
                <w:sz w:val="21"/>
                <w:szCs w:val="21"/>
                <w:lang w:val="en-US" w:eastAsia="zh-CN"/>
              </w:rPr>
            </w:pPr>
            <w:r>
              <w:rPr>
                <w:rFonts w:hint="eastAsia" w:ascii="仿宋" w:hAnsi="仿宋" w:eastAsia="仿宋" w:cs="仿宋"/>
                <w:sz w:val="21"/>
                <w:szCs w:val="21"/>
              </w:rPr>
              <w:t>297.00</w:t>
            </w:r>
          </w:p>
        </w:tc>
        <w:tc>
          <w:tcPr>
            <w:tcW w:w="888" w:type="dxa"/>
            <w:shd w:val="clear" w:color="auto" w:fill="auto"/>
            <w:vAlign w:val="center"/>
          </w:tcPr>
          <w:p>
            <w:pPr>
              <w:spacing w:line="300" w:lineRule="exact"/>
              <w:jc w:val="right"/>
              <w:rPr>
                <w:rFonts w:hint="eastAsia" w:ascii="仿宋" w:hAnsi="仿宋" w:eastAsia="仿宋" w:cs="仿宋"/>
                <w:sz w:val="21"/>
                <w:szCs w:val="21"/>
              </w:rPr>
            </w:pPr>
          </w:p>
        </w:tc>
        <w:tc>
          <w:tcPr>
            <w:tcW w:w="891" w:type="dxa"/>
            <w:shd w:val="clear" w:color="auto" w:fill="auto"/>
            <w:vAlign w:val="center"/>
          </w:tcPr>
          <w:p>
            <w:pPr>
              <w:spacing w:line="300" w:lineRule="exact"/>
              <w:jc w:val="right"/>
              <w:rPr>
                <w:rFonts w:hint="eastAsia" w:ascii="仿宋" w:hAnsi="仿宋" w:eastAsia="仿宋" w:cs="仿宋"/>
                <w:sz w:val="21"/>
                <w:szCs w:val="21"/>
              </w:rPr>
            </w:pPr>
          </w:p>
        </w:tc>
        <w:tc>
          <w:tcPr>
            <w:tcW w:w="891" w:type="dxa"/>
            <w:shd w:val="clear" w:color="auto" w:fill="auto"/>
            <w:vAlign w:val="center"/>
          </w:tcPr>
          <w:p>
            <w:pPr>
              <w:spacing w:line="300" w:lineRule="exact"/>
              <w:jc w:val="right"/>
              <w:rPr>
                <w:rFonts w:hint="eastAsia" w:ascii="仿宋" w:hAnsi="仿宋" w:eastAsia="仿宋" w:cs="仿宋"/>
                <w:sz w:val="21"/>
                <w:szCs w:val="21"/>
              </w:rPr>
            </w:pPr>
          </w:p>
        </w:tc>
        <w:tc>
          <w:tcPr>
            <w:tcW w:w="851" w:type="dxa"/>
            <w:shd w:val="clear" w:color="auto" w:fill="auto"/>
            <w:vAlign w:val="center"/>
          </w:tcPr>
          <w:p>
            <w:pPr>
              <w:spacing w:line="300" w:lineRule="exact"/>
              <w:jc w:val="right"/>
              <w:rPr>
                <w:rFonts w:hint="eastAsia" w:ascii="仿宋" w:hAnsi="仿宋" w:eastAsia="仿宋" w:cs="仿宋"/>
                <w:sz w:val="21"/>
                <w:szCs w:val="21"/>
              </w:rPr>
            </w:pPr>
          </w:p>
        </w:tc>
      </w:tr>
    </w:tbl>
    <w:p>
      <w:pPr>
        <w:widowControl/>
        <w:shd w:val="clear" w:color="auto" w:fill="FFFFFF"/>
        <w:spacing w:line="580" w:lineRule="atLeast"/>
        <w:ind w:firstLine="640"/>
        <w:jc w:val="left"/>
        <w:rPr>
          <w:rFonts w:hint="eastAsia"/>
        </w:rPr>
      </w:pPr>
    </w:p>
    <w:p>
      <w:pPr>
        <w:autoSpaceDE w:val="0"/>
        <w:autoSpaceDN w:val="0"/>
        <w:adjustRightInd w:val="0"/>
        <w:ind w:left="198" w:firstLine="640" w:firstLineChars="200"/>
        <w:jc w:val="left"/>
        <w:rPr>
          <w:rFonts w:ascii="黑体" w:hAnsi="黑体" w:eastAsia="黑体"/>
        </w:rPr>
      </w:pPr>
      <w:r>
        <w:rPr>
          <w:rFonts w:hint="eastAsia" w:ascii="黑体" w:hAnsi="黑体" w:eastAsia="黑体"/>
        </w:rPr>
        <w:t>七、国有资产信息</w:t>
      </w:r>
    </w:p>
    <w:p>
      <w:pPr>
        <w:spacing w:line="560" w:lineRule="exact"/>
        <w:ind w:firstLine="640" w:firstLineChars="200"/>
        <w:rPr>
          <w:b/>
          <w:highlight w:val="red"/>
        </w:rPr>
      </w:pPr>
      <w:r>
        <w:rPr>
          <w:rFonts w:hint="eastAsia"/>
        </w:rPr>
        <w:t>香河广播电视台（含所属单位）上年末固定资产金额为2017</w:t>
      </w:r>
      <w:r>
        <w:rPr>
          <w:rFonts w:hint="eastAsia"/>
          <w:lang w:val="en-US" w:eastAsia="zh-CN"/>
        </w:rPr>
        <w:t>.99</w:t>
      </w:r>
      <w:r>
        <w:rPr>
          <w:rFonts w:hint="eastAsia"/>
        </w:rPr>
        <w:t>万元，本年度单位（处室）拟购置固定资产主要为</w:t>
      </w:r>
      <w:r>
        <w:rPr>
          <w:rFonts w:hint="eastAsia"/>
          <w:lang w:val="en-US" w:eastAsia="zh-CN"/>
        </w:rPr>
        <w:t>297</w:t>
      </w:r>
      <w:r>
        <w:rPr>
          <w:rFonts w:hint="eastAsia"/>
        </w:rPr>
        <w:t>万元</w:t>
      </w:r>
      <w:r>
        <w:t>,</w:t>
      </w:r>
      <w:r>
        <w:rPr>
          <w:rFonts w:hint="eastAsia"/>
          <w:lang w:eastAsia="zh-CN"/>
        </w:rPr>
        <w:t>箱式变压器</w:t>
      </w:r>
      <w:r>
        <w:rPr>
          <w:rFonts w:hint="eastAsia"/>
        </w:rPr>
        <w:t>、</w:t>
      </w:r>
      <w:r>
        <w:rPr>
          <w:rFonts w:hint="eastAsia"/>
          <w:lang w:eastAsia="zh-CN"/>
        </w:rPr>
        <w:t>视频通道系统</w:t>
      </w:r>
      <w:r>
        <w:rPr>
          <w:rFonts w:hint="eastAsia"/>
        </w:rPr>
        <w:t>等，已列入政府采购预算。详见下表。</w:t>
      </w:r>
    </w:p>
    <w:p>
      <w:pPr>
        <w:ind w:firstLine="640"/>
      </w:pP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rPr>
            </w:pPr>
            <w:r>
              <w:rPr>
                <w:rFonts w:hint="eastAsia" w:ascii="宋体" w:hAnsi="宋体" w:cs="宋体"/>
                <w:b/>
                <w:bCs/>
                <w:kern w:val="0"/>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编制部门：香河广播电视台</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lang w:val="en-US" w:eastAsia="zh-CN"/>
              </w:rPr>
              <w:t>8</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仿宋" w:cs="宋体"/>
                <w:kern w:val="0"/>
                <w:sz w:val="22"/>
                <w:lang w:val="en-US" w:eastAsia="zh-CN"/>
              </w:rPr>
            </w:pPr>
            <w:r>
              <w:rPr>
                <w:rFonts w:hint="eastAsia" w:ascii="宋体" w:cs="宋体"/>
                <w:kern w:val="0"/>
                <w:sz w:val="22"/>
                <w:lang w:val="en-US" w:eastAsia="zh-CN"/>
              </w:rPr>
              <w:t>2017.99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hint="default" w:ascii="宋体" w:eastAsia="仿宋" w:cs="宋体"/>
                <w:kern w:val="0"/>
                <w:sz w:val="22"/>
                <w:lang w:val="en-US" w:eastAsia="zh-CN"/>
              </w:rPr>
            </w:pPr>
            <w:r>
              <w:rPr>
                <w:rFonts w:hint="eastAsia" w:ascii="宋体" w:cs="宋体"/>
                <w:kern w:val="0"/>
                <w:sz w:val="22"/>
                <w:lang w:val="en-US" w:eastAsia="zh-CN"/>
              </w:rPr>
              <w:t>3208.7</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仿宋" w:cs="宋体"/>
                <w:kern w:val="0"/>
                <w:sz w:val="22"/>
                <w:lang w:val="en-US" w:eastAsia="zh-CN"/>
              </w:rPr>
            </w:pPr>
            <w:r>
              <w:rPr>
                <w:rFonts w:hint="eastAsia" w:ascii="宋体" w:cs="宋体"/>
                <w:kern w:val="0"/>
                <w:sz w:val="22"/>
                <w:lang w:val="en-US" w:eastAsia="zh-CN"/>
              </w:rPr>
              <w:t>377.39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hint="default" w:ascii="宋体" w:eastAsia="仿宋" w:cs="宋体"/>
                <w:kern w:val="0"/>
                <w:sz w:val="22"/>
                <w:lang w:val="en-US" w:eastAsia="zh-CN"/>
              </w:rPr>
            </w:pPr>
            <w:r>
              <w:rPr>
                <w:rFonts w:hint="eastAsia" w:ascii="宋体" w:cs="宋体"/>
                <w:kern w:val="0"/>
                <w:sz w:val="22"/>
                <w:lang w:val="en-US" w:eastAsia="zh-CN"/>
              </w:rPr>
              <w:t>2962.9</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仿宋" w:cs="宋体"/>
                <w:kern w:val="0"/>
                <w:sz w:val="22"/>
                <w:lang w:val="en-US" w:eastAsia="zh-CN"/>
              </w:rPr>
            </w:pPr>
            <w:r>
              <w:rPr>
                <w:rFonts w:hint="eastAsia" w:ascii="宋体" w:cs="宋体"/>
                <w:kern w:val="0"/>
                <w:sz w:val="22"/>
                <w:lang w:val="en-US" w:eastAsia="zh-CN"/>
              </w:rPr>
              <w:t>302.5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2</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仿宋" w:cs="宋体"/>
                <w:kern w:val="0"/>
                <w:sz w:val="22"/>
                <w:lang w:val="en-US" w:eastAsia="zh-CN"/>
              </w:rPr>
            </w:pPr>
            <w:r>
              <w:rPr>
                <w:rFonts w:hint="eastAsia" w:ascii="宋体" w:cs="宋体"/>
                <w:kern w:val="0"/>
                <w:sz w:val="22"/>
                <w:lang w:val="en-US" w:eastAsia="zh-CN"/>
              </w:rPr>
              <w:t>28.9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5</w:t>
            </w:r>
            <w:r>
              <w:rPr>
                <w:rFonts w:ascii="宋体" w:cs="宋体"/>
                <w:kern w:val="0"/>
                <w:sz w:val="22"/>
              </w:rPr>
              <w:t>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仿宋" w:cs="宋体"/>
                <w:kern w:val="0"/>
                <w:sz w:val="22"/>
                <w:lang w:eastAsia="zh-CN"/>
              </w:rPr>
            </w:pPr>
            <w:r>
              <w:rPr>
                <w:rFonts w:hint="eastAsia" w:ascii="宋体" w:cs="宋体"/>
                <w:kern w:val="0"/>
                <w:sz w:val="22"/>
                <w:lang w:val="en-US" w:eastAsia="zh-CN"/>
              </w:rPr>
              <w:t>2</w:t>
            </w: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仿宋" w:cs="宋体"/>
                <w:kern w:val="0"/>
                <w:sz w:val="22"/>
                <w:lang w:val="en-US" w:eastAsia="zh-CN"/>
              </w:rPr>
            </w:pPr>
            <w:r>
              <w:rPr>
                <w:rFonts w:hint="eastAsia" w:ascii="宋体" w:cs="宋体"/>
                <w:kern w:val="0"/>
                <w:sz w:val="22"/>
                <w:lang w:val="en-US" w:eastAsia="zh-CN"/>
              </w:rPr>
              <w:t>123.41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hint="default" w:ascii="宋体" w:eastAsia="仿宋" w:cs="宋体"/>
                <w:kern w:val="0"/>
                <w:sz w:val="22"/>
                <w:lang w:val="en-US" w:eastAsia="zh-CN"/>
              </w:rPr>
            </w:pPr>
            <w:r>
              <w:rPr>
                <w:rFonts w:hint="eastAsia" w:ascii="宋体" w:cs="宋体"/>
                <w:kern w:val="0"/>
                <w:sz w:val="22"/>
                <w:lang w:val="en-US" w:eastAsia="zh-CN"/>
              </w:rPr>
              <w:t>1488.29</w:t>
            </w:r>
          </w:p>
        </w:tc>
      </w:tr>
    </w:tbl>
    <w:p>
      <w:pPr>
        <w:ind w:firstLine="640"/>
        <w:rPr>
          <w:rFonts w:ascii="黑体" w:hAnsi="黑体" w:eastAsia="黑体"/>
        </w:rPr>
      </w:pPr>
      <w:r>
        <w:rPr>
          <w:rFonts w:hint="eastAsia" w:ascii="黑体" w:hAnsi="黑体" w:eastAsia="黑体"/>
        </w:rPr>
        <w:t>八、名词解释</w:t>
      </w:r>
    </w:p>
    <w:p>
      <w:pPr>
        <w:pStyle w:val="10"/>
        <w:ind w:firstLine="630" w:firstLineChars="196"/>
        <w:rPr>
          <w:rFonts w:ascii="仿宋_GB2312" w:eastAsia="仿宋_GB2312"/>
          <w:b/>
          <w:bCs/>
          <w:sz w:val="32"/>
          <w:szCs w:val="32"/>
        </w:rPr>
      </w:pPr>
      <w:r>
        <w:rPr>
          <w:rFonts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0"/>
        <w:rPr>
          <w:rFonts w:ascii="仿宋_GB2312" w:hAnsi="FZFangSong-Z02" w:eastAsia="仿宋_GB2312" w:cs="FZFangSong-Z02"/>
          <w:sz w:val="32"/>
          <w:szCs w:val="32"/>
        </w:rPr>
      </w:pPr>
      <w:r>
        <w:rPr>
          <w:rFonts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rPr>
      </w:pPr>
      <w:r>
        <w:rPr>
          <w:rFonts w:ascii="仿宋_GB2312" w:eastAsia="仿宋_GB2312"/>
          <w:b/>
          <w:bCs/>
        </w:rPr>
        <w:t xml:space="preserve">    5</w:t>
      </w:r>
      <w:r>
        <w:rPr>
          <w:rFonts w:hint="eastAsia" w:ascii="仿宋_GB2312" w:hAnsi="FZFangSong-Z02" w:eastAsia="仿宋_GB2312" w:cs="FZFangSong-Z02"/>
        </w:rPr>
        <w:t>、项目支出：</w:t>
      </w:r>
      <w:r>
        <w:rPr>
          <w:rFonts w:hint="eastAsia" w:ascii="仿宋_GB2312" w:eastAsia="仿宋_GB2312"/>
        </w:rPr>
        <w:t>指在基本支出之外为完成特定行政任务和事业发展目标所发生的支出。</w:t>
      </w:r>
    </w:p>
    <w:p>
      <w:pPr>
        <w:pStyle w:val="10"/>
        <w:rPr>
          <w:rFonts w:ascii="仿宋_GB2312" w:eastAsia="仿宋_GB2312"/>
          <w:sz w:val="32"/>
          <w:szCs w:val="32"/>
        </w:rPr>
      </w:pPr>
      <w:r>
        <w:rPr>
          <w:rFonts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rPr>
      </w:pPr>
      <w:r>
        <w:rPr>
          <w:rFonts w:ascii="仿宋_GB2312" w:eastAsia="仿宋_GB2312"/>
          <w:b/>
          <w:bCs/>
        </w:rPr>
        <w:t>8</w:t>
      </w:r>
      <w:r>
        <w:rPr>
          <w:rFonts w:hint="eastAsia" w:ascii="仿宋_GB2312" w:hAnsi="FZFangSong-Z02" w:eastAsia="仿宋_GB2312" w:cs="FZFangSong-Z0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rPr>
        <w:t>其他费用。</w:t>
      </w:r>
    </w:p>
    <w:p>
      <w:pPr>
        <w:ind w:firstLine="640"/>
        <w:rPr>
          <w:rFonts w:ascii="黑体" w:hAnsi="黑体" w:eastAsia="黑体"/>
        </w:rPr>
      </w:pPr>
      <w:r>
        <w:rPr>
          <w:rFonts w:hint="eastAsia" w:ascii="黑体" w:hAnsi="黑体" w:eastAsia="黑体"/>
        </w:rPr>
        <w:t>九、其它需要说明的事项</w:t>
      </w:r>
    </w:p>
    <w:p>
      <w:pPr>
        <w:tabs>
          <w:tab w:val="left" w:pos="11490"/>
        </w:tabs>
        <w:ind w:firstLine="640" w:firstLineChars="200"/>
      </w:pPr>
      <w:r>
        <w:rPr>
          <w:rFonts w:hint="eastAsia"/>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方正兰亭超细黑简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4F0A"/>
    <w:rsid w:val="00005AA1"/>
    <w:rsid w:val="000251F1"/>
    <w:rsid w:val="00037AF6"/>
    <w:rsid w:val="00045A61"/>
    <w:rsid w:val="00052587"/>
    <w:rsid w:val="00062DD6"/>
    <w:rsid w:val="000650DE"/>
    <w:rsid w:val="000751CD"/>
    <w:rsid w:val="00075D5F"/>
    <w:rsid w:val="00093D80"/>
    <w:rsid w:val="000A129C"/>
    <w:rsid w:val="000A63E7"/>
    <w:rsid w:val="000B04B5"/>
    <w:rsid w:val="000B11E0"/>
    <w:rsid w:val="000C3A19"/>
    <w:rsid w:val="000F50C7"/>
    <w:rsid w:val="000F5B3A"/>
    <w:rsid w:val="001245BB"/>
    <w:rsid w:val="00125FBB"/>
    <w:rsid w:val="0018479D"/>
    <w:rsid w:val="001C1F53"/>
    <w:rsid w:val="001F06BE"/>
    <w:rsid w:val="00203698"/>
    <w:rsid w:val="00207CAD"/>
    <w:rsid w:val="00223272"/>
    <w:rsid w:val="00241FD4"/>
    <w:rsid w:val="0024465C"/>
    <w:rsid w:val="00246DD9"/>
    <w:rsid w:val="002508C4"/>
    <w:rsid w:val="00251B12"/>
    <w:rsid w:val="00260879"/>
    <w:rsid w:val="00261354"/>
    <w:rsid w:val="002645FB"/>
    <w:rsid w:val="00274B2E"/>
    <w:rsid w:val="00296113"/>
    <w:rsid w:val="002974AB"/>
    <w:rsid w:val="002C200A"/>
    <w:rsid w:val="002C20EA"/>
    <w:rsid w:val="002D1476"/>
    <w:rsid w:val="002D3227"/>
    <w:rsid w:val="002D4AF7"/>
    <w:rsid w:val="002F3E58"/>
    <w:rsid w:val="002F64ED"/>
    <w:rsid w:val="0030542C"/>
    <w:rsid w:val="00311B7A"/>
    <w:rsid w:val="00332ABC"/>
    <w:rsid w:val="00392582"/>
    <w:rsid w:val="003A094E"/>
    <w:rsid w:val="003E1A7F"/>
    <w:rsid w:val="003E23A5"/>
    <w:rsid w:val="003E380D"/>
    <w:rsid w:val="003F49E7"/>
    <w:rsid w:val="00415CB8"/>
    <w:rsid w:val="0044454B"/>
    <w:rsid w:val="00450F8F"/>
    <w:rsid w:val="00451871"/>
    <w:rsid w:val="00472923"/>
    <w:rsid w:val="00497870"/>
    <w:rsid w:val="004B37C2"/>
    <w:rsid w:val="004E3066"/>
    <w:rsid w:val="004E74CD"/>
    <w:rsid w:val="004F6123"/>
    <w:rsid w:val="00504DC9"/>
    <w:rsid w:val="00520CEC"/>
    <w:rsid w:val="0056326C"/>
    <w:rsid w:val="005632E5"/>
    <w:rsid w:val="00572603"/>
    <w:rsid w:val="00573562"/>
    <w:rsid w:val="00595C93"/>
    <w:rsid w:val="005C1AEB"/>
    <w:rsid w:val="005C248A"/>
    <w:rsid w:val="005D68FF"/>
    <w:rsid w:val="006009A1"/>
    <w:rsid w:val="00613AE1"/>
    <w:rsid w:val="00614A29"/>
    <w:rsid w:val="00646686"/>
    <w:rsid w:val="0069476A"/>
    <w:rsid w:val="006D5756"/>
    <w:rsid w:val="006D6C8A"/>
    <w:rsid w:val="006E5AA3"/>
    <w:rsid w:val="006F65E4"/>
    <w:rsid w:val="00706D00"/>
    <w:rsid w:val="007323EB"/>
    <w:rsid w:val="0075393C"/>
    <w:rsid w:val="00757221"/>
    <w:rsid w:val="00776C08"/>
    <w:rsid w:val="007A1524"/>
    <w:rsid w:val="007B2D87"/>
    <w:rsid w:val="007B4EE0"/>
    <w:rsid w:val="007D4D02"/>
    <w:rsid w:val="007E1DA8"/>
    <w:rsid w:val="007F1DCF"/>
    <w:rsid w:val="007F6C26"/>
    <w:rsid w:val="007F7075"/>
    <w:rsid w:val="00803D50"/>
    <w:rsid w:val="00807EED"/>
    <w:rsid w:val="00817B57"/>
    <w:rsid w:val="00826AC9"/>
    <w:rsid w:val="008334AE"/>
    <w:rsid w:val="00836FED"/>
    <w:rsid w:val="00845CD2"/>
    <w:rsid w:val="008502D8"/>
    <w:rsid w:val="008507A7"/>
    <w:rsid w:val="00852B0D"/>
    <w:rsid w:val="00881692"/>
    <w:rsid w:val="0088621B"/>
    <w:rsid w:val="008B12E4"/>
    <w:rsid w:val="008B3CC5"/>
    <w:rsid w:val="008C2BAF"/>
    <w:rsid w:val="008D226F"/>
    <w:rsid w:val="008E4261"/>
    <w:rsid w:val="008E751E"/>
    <w:rsid w:val="008F4662"/>
    <w:rsid w:val="00902B52"/>
    <w:rsid w:val="00904F24"/>
    <w:rsid w:val="00905D08"/>
    <w:rsid w:val="0091236C"/>
    <w:rsid w:val="00925753"/>
    <w:rsid w:val="00927B0B"/>
    <w:rsid w:val="00942618"/>
    <w:rsid w:val="009668BA"/>
    <w:rsid w:val="00966C5C"/>
    <w:rsid w:val="00967BB9"/>
    <w:rsid w:val="00973104"/>
    <w:rsid w:val="009A2998"/>
    <w:rsid w:val="009B11F7"/>
    <w:rsid w:val="009C119B"/>
    <w:rsid w:val="00A11219"/>
    <w:rsid w:val="00A24A36"/>
    <w:rsid w:val="00A34D76"/>
    <w:rsid w:val="00A5068D"/>
    <w:rsid w:val="00A6627D"/>
    <w:rsid w:val="00A662E9"/>
    <w:rsid w:val="00A72D2E"/>
    <w:rsid w:val="00A911E7"/>
    <w:rsid w:val="00A939D9"/>
    <w:rsid w:val="00AA71ED"/>
    <w:rsid w:val="00AB73CD"/>
    <w:rsid w:val="00AC2C03"/>
    <w:rsid w:val="00AD703B"/>
    <w:rsid w:val="00AF6B63"/>
    <w:rsid w:val="00B043C4"/>
    <w:rsid w:val="00B20712"/>
    <w:rsid w:val="00B43238"/>
    <w:rsid w:val="00B478E2"/>
    <w:rsid w:val="00B75216"/>
    <w:rsid w:val="00B91D52"/>
    <w:rsid w:val="00BA1ACD"/>
    <w:rsid w:val="00BA408B"/>
    <w:rsid w:val="00BA6C50"/>
    <w:rsid w:val="00C112AF"/>
    <w:rsid w:val="00C20230"/>
    <w:rsid w:val="00C21BCB"/>
    <w:rsid w:val="00C24BF5"/>
    <w:rsid w:val="00C3352E"/>
    <w:rsid w:val="00C720E3"/>
    <w:rsid w:val="00C8569A"/>
    <w:rsid w:val="00C97A96"/>
    <w:rsid w:val="00CA7176"/>
    <w:rsid w:val="00CD2773"/>
    <w:rsid w:val="00CD326E"/>
    <w:rsid w:val="00CE143B"/>
    <w:rsid w:val="00CE343D"/>
    <w:rsid w:val="00CE403B"/>
    <w:rsid w:val="00CE5192"/>
    <w:rsid w:val="00CF2D57"/>
    <w:rsid w:val="00CF549F"/>
    <w:rsid w:val="00CF7A5D"/>
    <w:rsid w:val="00D361CD"/>
    <w:rsid w:val="00D44F13"/>
    <w:rsid w:val="00D80DB8"/>
    <w:rsid w:val="00DA164F"/>
    <w:rsid w:val="00DA2FDB"/>
    <w:rsid w:val="00DC780C"/>
    <w:rsid w:val="00DD2E66"/>
    <w:rsid w:val="00DE16C4"/>
    <w:rsid w:val="00E01C80"/>
    <w:rsid w:val="00E167C7"/>
    <w:rsid w:val="00E55589"/>
    <w:rsid w:val="00E84FEB"/>
    <w:rsid w:val="00E93E06"/>
    <w:rsid w:val="00EC47F6"/>
    <w:rsid w:val="00EE1B43"/>
    <w:rsid w:val="00F153EF"/>
    <w:rsid w:val="00F50E15"/>
    <w:rsid w:val="00F61055"/>
    <w:rsid w:val="00F66032"/>
    <w:rsid w:val="00F71E48"/>
    <w:rsid w:val="00F732E6"/>
    <w:rsid w:val="00F74084"/>
    <w:rsid w:val="00F958C2"/>
    <w:rsid w:val="00FA62ED"/>
    <w:rsid w:val="00FB0501"/>
    <w:rsid w:val="00FB0AB6"/>
    <w:rsid w:val="00FB4CD3"/>
    <w:rsid w:val="00FC6357"/>
    <w:rsid w:val="00FD2081"/>
    <w:rsid w:val="00FE3D85"/>
    <w:rsid w:val="02D61ECE"/>
    <w:rsid w:val="0D732B83"/>
    <w:rsid w:val="139E3A80"/>
    <w:rsid w:val="172640FC"/>
    <w:rsid w:val="190821AA"/>
    <w:rsid w:val="1A224CD5"/>
    <w:rsid w:val="1A3C1BD3"/>
    <w:rsid w:val="1B901445"/>
    <w:rsid w:val="1EEE320F"/>
    <w:rsid w:val="26EA6503"/>
    <w:rsid w:val="27AE2076"/>
    <w:rsid w:val="28606A42"/>
    <w:rsid w:val="2B361CFE"/>
    <w:rsid w:val="2BD70D04"/>
    <w:rsid w:val="30055D0A"/>
    <w:rsid w:val="302824AE"/>
    <w:rsid w:val="33E730FA"/>
    <w:rsid w:val="39E85DFE"/>
    <w:rsid w:val="3C545EAE"/>
    <w:rsid w:val="3D6B40A0"/>
    <w:rsid w:val="43AD209B"/>
    <w:rsid w:val="450B516F"/>
    <w:rsid w:val="47AC5CA4"/>
    <w:rsid w:val="48A04B1C"/>
    <w:rsid w:val="4923473B"/>
    <w:rsid w:val="4E491554"/>
    <w:rsid w:val="4EB42D88"/>
    <w:rsid w:val="59A84887"/>
    <w:rsid w:val="61C344B0"/>
    <w:rsid w:val="648B2BDB"/>
    <w:rsid w:val="64A94CC1"/>
    <w:rsid w:val="64AC48FB"/>
    <w:rsid w:val="6CE86226"/>
    <w:rsid w:val="6E3E31B2"/>
    <w:rsid w:val="709C7B24"/>
    <w:rsid w:val="74113C15"/>
    <w:rsid w:val="76731C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kern w:val="2"/>
      <w:sz w:val="32"/>
      <w:szCs w:val="3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Header Char"/>
    <w:basedOn w:val="7"/>
    <w:link w:val="3"/>
    <w:qFormat/>
    <w:locked/>
    <w:uiPriority w:val="99"/>
    <w:rPr>
      <w:rFonts w:ascii="Times New Roman" w:hAnsi="Times New Roman" w:eastAsia="宋体" w:cs="Times New Roman"/>
      <w:sz w:val="18"/>
      <w:szCs w:val="18"/>
    </w:rPr>
  </w:style>
  <w:style w:type="character" w:customStyle="1" w:styleId="9">
    <w:name w:val="Footer Char"/>
    <w:basedOn w:val="7"/>
    <w:link w:val="2"/>
    <w:qFormat/>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677</Words>
  <Characters>3863</Characters>
  <Lines>0</Lines>
  <Paragraphs>0</Paragraphs>
  <TotalTime>20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2018-03-26T06:10:00Z</dcterms:created>
  <dc:creator>guest</dc:creator>
  <cp:lastModifiedBy>sunny</cp:lastModifiedBy>
  <dcterms:modified xsi:type="dcterms:W3CDTF">2019-03-18T01:35:45Z</dcterms:modified>
  <dc:title>香河县XX部门2018年部门预算信息公开</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